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BbgEMV (Brandenburg) — Entscheidungen der Wasserbehörde</w:t>
      </w:r>
    </w:p>
    <w:p>
      <w:r>
        <w:rPr>
          <w:color w:val="555555"/>
          <w:sz w:val="18"/>
        </w:rPr>
        <w:t xml:space="preserve">Brandenburgische Elektro-Motorbootverordnung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 Wasserbehörde kann Beschränkungen des durch diese Verordnung geregelten Gemeingebrauches gemäß § 44 des Brandenburgischen Wassergesetzes vornehmen oder einzelne Gewässer von diesem Gemeingebrauch ausnehmen.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BbgEMV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https://recht.nulegal.eu/gesetze/BbgEMV/3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