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BbgEMV (Brandenburg) — Zweck und Anwendungsbereich</w:t>
      </w:r>
    </w:p>
    <w:p>
      <w:r>
        <w:rPr>
          <w:color w:val="555555"/>
          <w:sz w:val="18"/>
        </w:rPr>
        <w:t xml:space="preserve">Brandenburgische Elektro-Motorbootverordnung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den Gemeingebrauch nach § 43 Absatz 1a des Brandenburgischen Wassergesetzes an oberirdischen stehenden, nicht schiffbaren Gewässern durch Befahren mit kleinen Fahrzeugen, die mit elektrischer Motorkraft angetrieben werden. Als kleine Fahrzeuge zählen solche bis zu 1 500 kg Wasserverdrängung und mit einer Motorleistung bis zu einem Kilowatt.</w:t>
      </w:r>
    </w:p>
    <w:p>
      <w:r>
        <w:t xml:space="preserve">(2) Ausgenommen von dem Gemeingebrauch nach Absatz 1 sind Gewässer im Sinne des § 43 Absatz 4 des Brandenburgischen Wassergesetzes.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BbgEMV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https://recht.nulegal.eu/gesetze/BbgEMV/1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