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BbgEESG (Brandenburg) — Inkrafttreten, Außerkrafttreten</w:t>
      </w:r>
    </w:p>
    <w:p>
      <w:r>
        <w:rPr>
          <w:color w:val="555555"/>
          <w:sz w:val="18"/>
        </w:rPr>
        <w:t xml:space="preserve">Erneuerbare-Energien-Sonderabgabengesetz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 nach der Verkündung in Kraft. Gleichzeitig treten das Windenergieanlagenabgabengesetz vom 19. Juni 2019 (GVBl. I Nr. 30) und das Photovoltaik-Freiflächenanlagen-Abgabengesetz vom 31. Januar 2024 (GVBl. I Nr. 3) außer Kraft.</w:t>
      </w:r>
    </w:p>
    <w:p>
      <w:r>
        <w:t xml:space="preserve">Potsdam, den 27. November 2025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rPr>
          <w:color w:val="555555"/>
          <w:sz w:val="17"/>
        </w:rPr>
        <w:t xml:space="preserve">Zitiervorschlag: § 7 BbgEESG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https://recht.nulegal.eu/gesetze/BbgEESG/7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