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BbgEESG (Brandenburg) — Zuständigkeit</w:t>
      </w:r>
    </w:p>
    <w:p>
      <w:r>
        <w:rPr>
          <w:color w:val="555555"/>
          <w:sz w:val="18"/>
        </w:rPr>
        <w:t xml:space="preserve">Erneuerbare-Energien-Sonderabgabengesetz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Zuständig für die Überwachung und Durchsetzung der Pflichten aus diesem Gesetz einschließlich der Verfolgung und Ahndung der Ordnungswidrigkeit nach § 5 ist das für Energiepolitik zuständige Mitglied der Landesregierung.</w:t>
      </w:r>
    </w:p>
    <w:p>
      <w:r>
        <w:t xml:space="preserve">(2) Das für Energiepolitik zuständige Mitglied der Landesregierung wird ermächtigt, durch Rechtsverordnung nähere Vorschriften zu erlassen über</w:t>
      </w:r>
    </w:p>
    <w:p>
      <w:r>
        <w:t xml:space="preserve">den Umfang, den Inhalt und die Form der Ausgestaltung und Berechnung der Höhe der Sonderabgabe,</w:t>
      </w:r>
    </w:p>
    <w:p>
      <w:r>
        <w:t xml:space="preserve">die Erfüllung der Pflichten der zahlungspflichtigen Betreiber der Anlagen,</w:t>
      </w:r>
    </w:p>
    <w:p>
      <w:r>
        <w:t xml:space="preserve">die zweckentsprechende Verwendung der Sonderabgabe nach § 4.</w:t>
      </w:r>
    </w:p>
    <w:p>
      <w:r>
        <w:rPr>
          <w:color w:val="555555"/>
          <w:sz w:val="17"/>
        </w:rPr>
        <w:t xml:space="preserve">Zitiervorschlag: § 6 BbgEESG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https://recht.nulegal.eu/gesetze/BbgEESG/6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