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BbgEESG (Brandenburg) — Ordnungswidrigkeit</w:t>
      </w:r>
    </w:p>
    <w:p>
      <w:r>
        <w:rPr>
          <w:color w:val="555555"/>
          <w:sz w:val="18"/>
        </w:rPr>
        <w:t xml:space="preserve">Erneuerbare-Energien-Sonderabgabengesetz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entgegen § 2 Absatz 1 eine Zahlung an anspruchsberechtigte Gemeinden trotz Fälligkeit nicht entrichtet,</w:t>
      </w:r>
    </w:p>
    <w:p>
      <w:r>
        <w:t xml:space="preserve">der Pflicht zur Informationsherausgabe nach § 3 Absatz 3 trotz Auskunftsverlangen einer anspruchsberechtigten Gemeinde nicht nachkommt.</w:t>
      </w:r>
    </w:p>
    <w:p>
      <w:r>
        <w:t xml:space="preserve">(2) Die Ordnungswidrigkeit kann mit einer Geldbuße von bis zu einhunderttausend Euro geahndet werden.</w:t>
      </w:r>
    </w:p>
    <w:p>
      <w:r>
        <w:rPr>
          <w:color w:val="555555"/>
          <w:sz w:val="17"/>
        </w:rPr>
        <w:t xml:space="preserve">Zitiervorschlag: § 5 BbgEESG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https://recht.nulegal.eu/gesetze/BbgEESG/5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