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BbgEBG (Brandenburg) — Grundversorgung der Erwachsenenbildung und Sicherung der Erwachsenenbildung, Verordnungsermächtigung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Grundversorgung der Erwachsenenbildung im Land Brandenburg wird durch ein vielfältiges und regional bedarfsgerechtes Angebot der nach § 9 anerkannten Einrichtungen der Erwachsenenbildung in freier und öffentlicher Trägerschaft sichergestellt.</w:t>
      </w:r>
    </w:p>
    <w:p>
      <w:r>
        <w:t xml:space="preserve">(2) Die Grundversorgung der Erwachsenenbildung umfasst die in § 2 Absatz 3 aufgeführten Bereiche.</w:t>
      </w:r>
    </w:p>
    <w:p>
      <w:r>
        <w:t xml:space="preserve">(3) Das für Bildung zuständige Mitglied der Landesregierung wird ermächtigt, durch Rechtsverordnung das Verfahren, die Inhalte und die Durchführung der Grundversorgung der Erwachsenenbildung zu regeln.</w:t>
      </w:r>
    </w:p>
    <w:p>
      <w:r>
        <w:rPr>
          <w:color w:val="555555"/>
          <w:sz w:val="17"/>
        </w:rPr>
        <w:t xml:space="preserve">Zitiervorschlag: § 8 BbgEBG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