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BbgEBG (Brandenburg) — Befristete Übergangsvorschriften</w:t>
      </w:r>
    </w:p>
    <w:p>
      <w:r>
        <w:rPr>
          <w:color w:val="555555"/>
          <w:sz w:val="18"/>
        </w:rPr>
        <w:t xml:space="preserve">Brandenburgisches Erwachsenenbildungsgesetz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Auf die Förderung der Grundversorgung der Erwachsenenbildung sowie von Erwachsenenbildungsstätten oder Heimbildungsstätten und Landesorganisationen der Erwachsenenbildung sind § 27 des Brandenburgischen Weiterbildungsgesetzes vom 15. Dezember 1993 ( GVBl. I S. 498), das zuletzt durch Artikel 10 des Gesetzes vom 25. Januar 2016 (GVBl. I Nr. 5 S. 15) geändert worden ist, und die §§ 1 bis 10 der Weiterbildungsverordnung vom 25. Juni 2019 ( GVBl. II Nr. 44) bis zum Ablauf des 31. Dezember 2024 anzuwenden.</w:t>
      </w:r>
    </w:p>
    <w:p>
      <w:r>
        <w:t xml:space="preserve">(2) Auf Anträge zur Anerkennung von Einrichtungen und Landesorganisationen der Weiterbildung, die vor dem 1. Januar 2024 beim für Bildung zuständigen Ministerium eingegangen sind, sind die §§ 7 bis 9 des Brandenburgischen Weiterbildungsgesetzes vom 15. Dezember 1993 (GVBl. I S. 498), das zuletzt durch Artikel 10 des Gesetzes vom 25. Januar 2016 (GVBl. I Nr. 5 S. 15) geändert worden ist, anzuwenden.</w:t>
      </w:r>
    </w:p>
    <w:p>
      <w:r>
        <w:t xml:space="preserve">(3) Für die Anerkennung von Veranstaltungen zur Bildungszeit ist die Bildungsfreistellungsverordnung vom 21. Januar 2005 (GVBl. II S. 57) bis zu deren Außerkrafttreten anzuwenden.</w:t>
      </w:r>
    </w:p>
    <w:p>
      <w:r>
        <w:rPr>
          <w:color w:val="555555"/>
          <w:sz w:val="17"/>
        </w:rPr>
        <w:t xml:space="preserve">Zitiervorschlag: § 36 BbgEBG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https://recht.nulegal.eu/gesetze/BbgEBG/36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