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BbgEBG (Brandenburg) — Unabdingbarkeit und Abgeltungsverbot</w:t>
      </w:r>
    </w:p>
    <w:p>
      <w:r>
        <w:rPr>
          <w:color w:val="555555"/>
          <w:sz w:val="18"/>
        </w:rPr>
        <w:t xml:space="preserve">Brandenburgisches Erwachsenenbildungsgesetz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Von den Vorschriften dieses Gesetzes darf nur zugunsten der anspruchsberechtigten Person abgewichen werden.</w:t>
      </w:r>
    </w:p>
    <w:p>
      <w:r>
        <w:t xml:space="preserve">(2) Eine Abgeltung der nicht in Anspruch genommenen Bildungszeit findet nicht statt.</w:t>
      </w:r>
    </w:p>
    <w:p>
      <w:r>
        <w:rPr>
          <w:color w:val="555555"/>
          <w:sz w:val="17"/>
        </w:rPr>
        <w:t xml:space="preserve">Zitiervorschlag: § 31 BbgEBG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https://recht.nulegal.eu/gesetze/BbgEBG/31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