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BbgEBG (Brandenburg) — Grundsätze, Verordnungsermächtigung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Höhe der Förderung erfolgt im Rahmen vorhandener Haushaltsmittel.</w:t>
      </w:r>
    </w:p>
    <w:p>
      <w:r>
        <w:t xml:space="preserve">(2) Die Bedingungen, Inhalte, Einzelheiten der Bemessungsgrundlage und das Verfahren der Förderung nach Absatz 3 sowie den §§ 18 bis 21 werden von dem für Bildung zuständigen Mitglied der Landesregierung durch Rechtsverordnung bestimmt.</w:t>
      </w:r>
    </w:p>
    <w:p>
      <w:r>
        <w:t xml:space="preserve">(3) Das Land kann die Fortbildung von Lehrenden und hauptberuflichen pädagogischen Mitarbeitenden in der Erwachsenenbildung fördern.</w:t>
      </w:r>
    </w:p>
    <w:p>
      <w:r>
        <w:t xml:space="preserve">(4) Die Förderung von politischer Bildung durch die Landeszentrale für politische Bildung bleibt unberührt.</w:t>
      </w:r>
    </w:p>
    <w:p>
      <w:r>
        <w:rPr>
          <w:color w:val="555555"/>
          <w:sz w:val="17"/>
        </w:rPr>
        <w:t xml:space="preserve">Zitiervorschlag: § 17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