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BbgEBG (Brandenburg) — Anerkennung von Erwachsenenbildungsstätten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Erwachsenenbildungsstätten sind anzuerkennen, wenn</w:t>
      </w:r>
    </w:p>
    <w:p>
      <w:r>
        <w:t xml:space="preserve">sie die Voraussetzungen des § 9 Absatz 1 Satz 1 Nummer 1 bis 7 sowie 9 bis 12 erfüllen,</w:t>
      </w:r>
    </w:p>
    <w:p>
      <w:r>
        <w:t xml:space="preserve">sie neben ihrer pädagogischen Arbeit die Unterbringung und Verpflegung für mindestens 25 Teilnehmerinnen und Teilnehmer gewährleisten und</w:t>
      </w:r>
    </w:p>
    <w:p>
      <w:r>
        <w:t xml:space="preserve">ein regionaler und thematischer Bedarf für die Bildungsangebote besteht.</w:t>
      </w:r>
    </w:p>
    <w:p>
      <w:r>
        <w:rPr>
          <w:color w:val="555555"/>
          <w:sz w:val="17"/>
        </w:rPr>
        <w:t xml:space="preserve">Zitiervorschlag: § 11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