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BbgEBG (Brandenburg) — Anerkennung von Landesorganisationen der Erwachsenenbildung</w:t>
      </w:r>
    </w:p>
    <w:p>
      <w:r>
        <w:rPr>
          <w:color w:val="555555"/>
          <w:sz w:val="18"/>
        </w:rPr>
        <w:t xml:space="preserve">Brandenburgisches Erwachsenenbildungsgesetz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Landesorganisationen der Erwachsenenbildung sind anzuerkennen, wenn sie</w:t>
      </w:r>
    </w:p>
    <w:p>
      <w:r>
        <w:t xml:space="preserve">die Voraussetzungen des § 9 Absatz 1 Satz 1 Nummer 1 bis 7 sowie 9 bis 12 erfüllen,</w:t>
      </w:r>
    </w:p>
    <w:p>
      <w:r>
        <w:t xml:space="preserve">von einer juristischen Person des öffentlichen Rechts oder einer gemeinnützigen juristischen Person des Privatrechts getragen werden,</w:t>
      </w:r>
    </w:p>
    <w:p>
      <w:r>
        <w:t xml:space="preserve">durch die ihnen angeschlossenen anerkannten Einrichtungen der Erwachsenenbildung in mindestens einem Drittel der Landkreise und kreisfreien Städte Erwachsenenbildung organisieren und durchführen und</w:t>
      </w:r>
    </w:p>
    <w:p>
      <w:r>
        <w:t xml:space="preserve">sich zur Mitarbeit im Landesbeirat für Erwachsenenbildung gemäß § 15 verpflichten.</w:t>
      </w:r>
    </w:p>
    <w:p>
      <w:r>
        <w:rPr>
          <w:color w:val="555555"/>
          <w:sz w:val="17"/>
        </w:rPr>
        <w:t xml:space="preserve">Zitiervorschlag: § 10 BbgEBG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https://recht.nulegal.eu/gesetze/BbgEBG/10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