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BbgEAPG (Brandenburg) — Vorgaben durch die Europäische Kommission</w:t>
      </w:r>
    </w:p>
    <w:p>
      <w:r>
        <w:rPr>
          <w:color w:val="555555"/>
          <w:sz w:val="18"/>
        </w:rPr>
        <w:t xml:space="preserve">Gesetz über den Einheitlichen Ansprechpartner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Sofern die Kommission nach Artikel 5 Absatz 2 der Richtlinie 2006/123/EG auf Gemeinschaftsebene einheitliche Formblätter einführt oder nach Artikel 8 Absatz 3 der Richtlinie 2006/123/EG Durchführungsbestimmungen zur Interoperabilität der Informationssysteme und zur Nutzung der elektronischen Verfahren zwischen den Mitgliedstaaten erlässt, kann die Landesregierung diese durch Rechtsverordnung umsetzen. Die Landesregierung kann die Ermächtigung nach Satz 1 oder Teile davon durch Rechtsverordnung auf das jeweils fachlich zuständige Mitglied der Landesregierung übertragen. Führt die Regelung nach Satz 1 zu einer Mehrbelastung der Gemeinden und Gemeindeverbände, kann in der Rechtsverordnung auch der Kostenausgleich gemäß Artikel 97 Absatz 3 Satz 3 der Verfassung des Landes Brandenburg geregelt werden.</w:t>
      </w:r>
    </w:p>
    <w:p>
      <w:r>
        <w:rPr>
          <w:color w:val="555555"/>
          <w:sz w:val="17"/>
        </w:rPr>
        <w:t xml:space="preserve">Zitiervorschlag: § 6 BbgEAPG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https://recht.nulegal.eu/gesetze/BbgEAPG/6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