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BbgEAPG (Brandenburg) — Zuständigkeiten</w:t>
      </w:r>
    </w:p>
    <w:p>
      <w:r>
        <w:rPr>
          <w:color w:val="555555"/>
          <w:sz w:val="18"/>
        </w:rPr>
        <w:t xml:space="preserve">Gesetz über den Einheitlichen Ansprechpartner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Einheitlicher Ansprechpartner für das Land Brandenburg ist die für Wirtschaft zuständige oberste Landesbehörde.</w:t>
      </w:r>
    </w:p>
    <w:p>
      <w:r>
        <w:t xml:space="preserve">(2) IMI-Koordinator für das Land Brandenburg im Sinne von Artikel 6 Absatz 2 der Verordnung (EU) Nr. 1024/2012 des Europäischen Parlaments und des Rates vom 25. Oktober 2012 über die Verwaltungszusammenarbeit mit Hilfe des Binnenmarkt-Informationssystems und zur Aufhebung der Entscheidung 2008/49/EG der Kommission („IMI-Verordnung“) (ABl. L 316 vom 14.11.2012, S. 1), die zuletzt durch die Richtlinie 2014/67/EU (ABl. L 159 vom 28.5.2014, S. 11) geändert worden ist, ist die für Wirtschaft zuständige oberste Landesbehörde. Dies gilt in allen im jeweils geltenden Anhang der IMI-Verordnung enthaltenen Fällen von Verwaltungszusammenarbeit, die in Rechtsakten der Europäischen Union enthalten sind und mit Hilfe des Binnenmarkt-Informationssystems (IMI) ausgeführt werden sollen, soweit sie nicht nach nationalem Recht anderen Stellen vorbehalten sind. Der IMI-Koordinator des Landes Brandenburg erfüllt seine Aufgaben in Kooperation mit dem nationalen IMI-Koordinator gemäß Artikel 6 Absatz 1 der IMI-Verordnung.</w:t>
      </w:r>
    </w:p>
    <w:p>
      <w:r>
        <w:rPr>
          <w:color w:val="555555"/>
          <w:sz w:val="17"/>
        </w:rPr>
        <w:t xml:space="preserve">Zitiervorschlag: § 10 BbgEAPG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https://recht.nulegal.eu/gesetze/BbgEAPG/10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