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BbgDSchG (Brandenburg) — Erhaltungspflicht</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Verfügungsberechtigte von Denkmalen haben diese im Rahmen des Zumutbaren nach denkmalpflegerischen Grundsätzen zu erhalten, zu schützen und zu pflegen.</w:t>
      </w:r>
    </w:p>
    <w:p>
      <w:r>
        <w:t xml:space="preserve">(2) Denkmale sind so zu nutzen, dass ihre Erhaltung auf Dauer gewährleistet ist. Die bisher rechtmäßig ausgeübte oder eine der Lage und Beschaffenheit des Denkmals entsprechende Nutzung ist zulässig. Denkmale sollen im Rahmen des für die Verfügungsberechtigten Zumutbaren der Öffentlichkeit zugänglich gemacht werden.</w:t>
      </w:r>
    </w:p>
    <w:p>
      <w:r>
        <w:t xml:space="preserve">(3) Soweit in ein Denkmal eingegriffen wird, hat der Veranlasser des Eingriffs im Rahmen des Zumutbaren die Kosten zu tragen, die für die Erhaltung, fachgerechte Instandsetzung oder Bergung und Dokumentation des Denkmals anfallen.</w:t>
      </w:r>
    </w:p>
    <w:p>
      <w:r>
        <w:t xml:space="preserve">(4) Die Zumutbarkeit ist unter Berücksichtigung der durch die Denkmaleigenschaft begründeten sozialen Bindung des Eigentums und dessen Privatnützigkeit zu bestimmen. Unzumutbar sind insbesondere in der Eigenschaft des Denkmals begründete besondere Belastungen, die zur Aufhebung der Privatnützigkeit führen, soweit sie durch Verwaltungsakte oder Maßnahmen nach diesem Gesetz entstehen. Eine wirtschaftliche Belastung ist insbesondere unzumutbar, soweit die Kosten der Erhaltung und Bewirtschaftung dauerhaft nicht durch die Erträge oder den Gebrauchswert des Denkmals aufgewogen werden. Eine unzumutbare Belastung liegt auch dann vor, soweit durch die Versagung einer Erlaubnis oder Maßnahmen nach diesem Gesetz eine bisher rechtmäßige oder zulässige, der Lage und Beschaffenheit des Denkmals entsprechende, insbesondere wirtschaftliche Nutzung des Denkmals unmöglich oder in einer Weise erschwert wird, so dass von dem Denkmal kein vernünftiger Gebrauch gemacht werden kann. Können Verfügungsberechtigte oder Veranlasser Zuwendungen aus öffentlichen oder privaten Mitteln oder steuerliche Begünstigungen in Anspruch nehmen oder werden anderweitig Kompensationen eingeräumt, ist dies bei der Bestimmung der Zumutbarkeit zu berücksichtigen.</w:t>
      </w:r>
    </w:p>
    <w:p>
      <w:r>
        <w:t xml:space="preserve">(5) Die Unzumutbarkeit ist durch die Verfügungsberechtigten oder Veranlasser nachzuweisen. Sie können sich nicht auf Belastungen durch erhöhte Erhaltungskosten berufen, soweit sie oder ihre Rechtsvorgänger die erhöhten Erhaltungskosten durch Unterlassen erforderlicher Erhaltungsmaßnahmen nach diesem Gesetz oder sonstigem öffentlichen Recht verursacht haben. § 254 des Bürgerlichen Gesetzbuches gilt sinngemäß.</w:t>
      </w:r>
    </w:p>
    <w:p>
      <w:r>
        <w:t xml:space="preserve">(6) Verfügungsberechtigte und Veranlasser haben in Verfahren nach diesem Gesetz Anspruch auf Beratung. Das Land trägt zur Erhaltung und Pflege der Denkmale, insbesondere wenn Verfügungsberechtigte und Veranlasser wirtschaftlich unzumutbar belastet würden, nach Maßgabe dieses Gesetzes sowie der zur Verfügung stehenden Haushaltsmittel bei.</w:t>
      </w:r>
    </w:p>
    <w:p>
      <w:r>
        <w:rPr>
          <w:color w:val="555555"/>
          <w:sz w:val="17"/>
        </w:rPr>
        <w:t xml:space="preserve">Zitiervorschlag: § 7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