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BbgDSchG (Brandenburg) — Denkmalpflegepläne</w:t>
      </w:r>
    </w:p>
    <w:p>
      <w:r>
        <w:rPr>
          <w:color w:val="555555"/>
          <w:sz w:val="18"/>
        </w:rPr>
        <w:t xml:space="preserve">Brandenburgisches Denkmalschutzgesetz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Gemeinden können Denkmalpflegepläne aufstellen und fortschreiben. Der Denkmalpflegeplan enthält auf der Grundlage der Erfassung und Bewertung des Denkmalbestandes ein Planungs- und Handlungskonzept, wie die Erhaltung und Nutzung der Denkmale gewährleistet werden soll.</w:t>
      </w:r>
    </w:p>
    <w:p>
      <w:r>
        <w:rPr>
          <w:color w:val="555555"/>
          <w:sz w:val="17"/>
        </w:rPr>
        <w:t xml:space="preserve">Zitiervorschlag: § 6 BbgDSchG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https://recht.nulegal.eu/gesetze/BbgDSchG/6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