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BbgDSchG (Brandenburg) — Denkmalbereiche</w:t>
      </w:r>
    </w:p>
    <w:p>
      <w:r>
        <w:rPr>
          <w:color w:val="555555"/>
          <w:sz w:val="18"/>
        </w:rPr>
        <w:t xml:space="preserve">Brandenburgisches Denkmalschutzgesetz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Denkmalbereiche können von den Gemeinden im Benehmen mit der Denkmalfachbehörde durch Satzung unter Schutz gestellt werden. Für den Inhalt der Satzung gilt § 3 Abs. 3 Satz 1 entsprechend.</w:t>
      </w:r>
    </w:p>
    <w:p>
      <w:r>
        <w:t xml:space="preserve">(2) Hat eine Gemeinde keine Satzung erlassen, kann die Denkmalschutzbehörde den Denkmalbereich durch eine ordnungsbehördliche Verordnung unter Schutz stellen, wenn eine Gefährdung der Substanz der Anlagen des Denkmalbereichs oder ihrer Gesamterscheinung, Struktur, Funktion oder des sie prägenden sonstigen Bezugs zu besorgen ist. Zuständig für den Erlass der Verordnung ist der Landrat. Bei kreisfreien Städten tritt an die Stelle der unteren Denkmalschutzbehörde die oberste Denkmalschutzbehörde. Die Verordnung ist aufzuheben, sobald die Gemeinde eine Satzung nach Absatz 1 erlassen hat.</w:t>
      </w:r>
    </w:p>
    <w:p>
      <w:r>
        <w:rPr>
          <w:color w:val="555555"/>
          <w:sz w:val="17"/>
        </w:rPr>
        <w:t xml:space="preserve">Zitiervorschlag: § 4 BbgDSchG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https://recht.nulegal.eu/gesetze/BbgDSchG/4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