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BbgDSchG (Brandenburg) — Ordnungswidrigkeiten</w:t>
      </w:r>
    </w:p>
    <w:p>
      <w:r>
        <w:rPr>
          <w:color w:val="555555"/>
          <w:sz w:val="18"/>
        </w:rPr>
        <w:t xml:space="preserve">Brandenburgisches Denkmalschutzgesetz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einer zur Erhaltung des Denkmals getroffenen vollziehbaren Anordnung nach § 8 Abs. 1 und 2 nicht nachkommt oder die Durchführung von Maßnahmen nach § 8 Abs. 3 und 4 nicht duldet,</w:t>
      </w:r>
    </w:p>
    <w:p>
      <w:r>
        <w:t xml:space="preserve">Maßnahmen, die nach § 9 Abs. 1 und § 10 Abs. 1 der Erlaubnis bedürfen, ohne Erlaubnis oder abweichend von ihr durchführt oder durchführen lässt,</w:t>
      </w:r>
    </w:p>
    <w:p>
      <w:r>
        <w:t xml:space="preserve">eine nach § 11 Abs. 1 erforderliche Anzeige nicht unverzüglich erstattet,</w:t>
      </w:r>
    </w:p>
    <w:p>
      <w:r>
        <w:t xml:space="preserve">eine Fundstelle nach § 11 Abs. 3 nicht unverändert hält oder</w:t>
      </w:r>
    </w:p>
    <w:p>
      <w:r>
        <w:t xml:space="preserve">eine nach § 14 Abs. 1 geforderte Auskunft nicht erteilt oder das Betreten eines Grundstücks, Gebäudes oder einer Wohnung nach § 14 Abs. 2 nicht duldet.</w:t>
      </w:r>
    </w:p>
    <w:p>
      <w:r>
        <w:t xml:space="preserve">(2) Ordnungswidrig handelt, wer vorsätzlich unrichtige Angaben macht oder unrichtige Pläne oder Unterlagen vorlegt, um einen Verwaltungsakt nach diesem Gesetz zu erwirken oder zu verhindern.</w:t>
      </w:r>
    </w:p>
    <w:p>
      <w:r>
        <w:t xml:space="preserve">(3) Ordnungswidrig handelt, wer wider besseres Wissen entgegen diesem Gesetz die Erlaubnis zur Zerstörung eines Denkmals erteilt.</w:t>
      </w:r>
    </w:p>
    <w:p>
      <w:r>
        <w:t xml:space="preserve">(4) Ordnungswidrigkeiten können mit Geldbuße bis zu 500 000 Euro geahndet werden.</w:t>
      </w:r>
    </w:p>
    <w:p>
      <w:r>
        <w:t xml:space="preserve">(5) Bewegliche Gegenstände, auf die sich eine Ordnungswidrigkeit nach den Absätzen 1 bis 3 oder nach einer Verordnung nach § 27 Abs. 1 bezieht, können eingezogen werden. § 23 des Gesetzes über Ordnungswidrigkeiten ist anzuwenden.</w:t>
      </w:r>
    </w:p>
    <w:p>
      <w:r>
        <w:t xml:space="preserve">(6) Die Verfolgung der Ordnungswidrigkeiten verjährt in fünf Jahren.</w:t>
      </w:r>
    </w:p>
    <w:p>
      <w:r>
        <w:t xml:space="preserve">(7) Verwaltungsbehörde im Sinne des § 36 Abs. 1 Nr. 1 des Gesetzes über Ordnungswidrigkeiten ist die untere Denkmalschutzbehörde.</w:t>
      </w:r>
    </w:p>
    <w:p>
      <w:r>
        <w:rPr>
          <w:color w:val="555555"/>
          <w:sz w:val="17"/>
        </w:rPr>
        <w:t xml:space="preserve">Zitiervorschlag: § 26 BbgDSchG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https://recht.nulegal.eu/gesetze/BbgDSchG/26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