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BbgDSchG (Brandenburg) — Gebühren und Bescheinigungen für steuerliche Zwecke</w:t>
      </w:r>
    </w:p>
    <w:p>
      <w:r>
        <w:rPr>
          <w:color w:val="555555"/>
          <w:sz w:val="18"/>
        </w:rPr>
        <w:t xml:space="preserve">Brandenburgisches Denkmalschutzgesetz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die Denkmalschutzbehörden und die Denkmalfachbehörde sind Auszüge aus Büchern, Schriftstücken und Flurkarten des Liegenschaftskatasters, auch in elektronisch gespeicherter Form, frei von Gebühren und Auslagen.</w:t>
      </w:r>
    </w:p>
    <w:p>
      <w:r>
        <w:t xml:space="preserve">(2) Bescheinigungen für die Erlangung von Steuervergünstigungen werden von der Denkmalschutzbehörde ausgestellt.</w:t>
      </w:r>
    </w:p>
    <w:p>
      <w:r>
        <w:rPr>
          <w:color w:val="555555"/>
          <w:sz w:val="17"/>
        </w:rPr>
        <w:t xml:space="preserve">Zitiervorschlag: § 22 BbgDSchG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https://recht.nulegal.eu/gesetze/BbgDSchG/22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