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BbgDSchG (Brandenburg) — Bauordnungsrechtlich genehmigungspflichtige Vorhaben</w:t>
      </w:r>
    </w:p>
    <w:p>
      <w:r>
        <w:rPr>
          <w:color w:val="555555"/>
          <w:sz w:val="18"/>
        </w:rPr>
        <w:t xml:space="preserve">Brandenburgisches Denkmalschutzgesetz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bauordnungsrechtliche Genehmigung schließt die Erlaubnis nach § 9 ein. Die Bauaufsichtsbehörde entscheidet im Benehmen mit der Denkmalschutzbehörde. § 19 Abs. 2 bis 4 bleibt unberührt. Im bauaufsichtlichen Verfahren beteiligt die Bauaufsichtsbehörde die Denkmalschutzbehörde, wenn in der Denkmalliste eingetragene Denkmale oder in Bauleitpläne übernommene Denkmale betroffen sind; dies gilt entsprechend für Entscheidungen, die die nähere Umgebung eines Denkmals betreffen.</w:t>
      </w:r>
    </w:p>
    <w:p>
      <w:r>
        <w:t xml:space="preserve">(2) Für die Überwachung der Bauausführung nach den unter die Bestimmungen dieses Gesetzes fallenden Teilen der bauordnungsrechtlichen Genehmigung ist die untere Denkmalschutzbehörde zuständig.</w:t>
      </w:r>
    </w:p>
    <w:p>
      <w:r>
        <w:rPr>
          <w:color w:val="555555"/>
          <w:sz w:val="17"/>
        </w:rPr>
        <w:t xml:space="preserve">Zitiervorschlag: § 20 BbgDSchG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https://recht.nulegal.eu/gesetze/BbgDSchG/20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