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BbgDSchG (Brandenburg) — Begriffsbestimmungen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Denkmale sind Sachen, Mehrheiten von Sachen oder Teile von Sachen, an deren Erhaltung wegen ihrer geschichtlichen, wissenschaftlichen, technischen, künstlerischen, städtebaulichen oder volkskundlichen Bedeutung ein öffentliches Interesse besteht.</w:t>
      </w:r>
    </w:p>
    <w:p>
      <w:r>
        <w:t xml:space="preserve">(2) Denkmale können sein:</w:t>
      </w:r>
    </w:p>
    <w:p>
      <w:r>
        <w:t xml:space="preserve">bauliche Anlagen (Baudenkmale), technische Anlagen (technische Denkmale) oder Teile solcher Anlagen sowie gärtnerische Anlagen oder sonstige von Menschen gestaltete Teile von Landschaften mit ihren Pflanzen, Frei- und Wasserflächen (Gartendenkmale). Das Inventar ist, soweit es mit dem Denkmal eine Einheit von Denkmalwert bildet, Teil desselben;</w:t>
      </w:r>
    </w:p>
    <w:p>
      <w:r>
        <w:t xml:space="preserve">Mehrheiten baulicher oder technischer Anlagen einschließlich der mit ihnen verbundenen Frei- und Wasserflächen, die in ihrer Gesamterscheinung, Struktur, Funktion oder in anderer Weise aufeinander bezogen sind, unabhängig davon, ob die einzelnen Anlagen für sich die Voraussetzungen des Absatzes 1 erfüllen (Denkmalbereiche). Denkmalbereiche sind insbesondere Zeugnisse der Siedlungs- und Produktionsgeschichte, des Städtebaus und der Garten- und Landschaftsgestaltung;</w:t>
      </w:r>
    </w:p>
    <w:p>
      <w:r>
        <w:t xml:space="preserve">bewegliche Sachen, Sammlungen oder sonstige Mehrheiten beweglicher Sachen (bewegliche Denkmale); davon ausgeschlossen ist Archivgut, soweit es den dafür geltenden gesetzlichen Bestimmungen unterliegt, und</w:t>
      </w:r>
    </w:p>
    <w:p>
      <w:r>
        <w:t xml:space="preserve">bewegliche und unbewegliche Sachen, insbesondere Reste oder Spuren von Gegenständen, Bauten und sonstigen Zeugnissen menschlichen, tierischen und pflanzlichen Lebens, die sich im Boden oder in Gewässern befinden oder befanden (Bodendenkmale).</w:t>
      </w:r>
    </w:p>
    <w:p>
      <w:r>
        <w:t xml:space="preserve">(3) Dem Schutz dieses Gesetzes unterliegt auch die nähere Umgebung eines Denkmals, soweit sie für dessen Erhaltung, Erscheinungsbild oder städtebauliche Bedeutung erheblich ist (Umgebungsschutz).</w:t>
      </w:r>
    </w:p>
    <w:p>
      <w:r>
        <w:rPr>
          <w:color w:val="555555"/>
          <w:sz w:val="17"/>
        </w:rPr>
        <w:t xml:space="preserve">Zitiervorschlag: § 2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