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BbgDSchG (Brandenburg) — Denkmalfachbehörde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Denkmalfachbehörde ist das Brandenburgische Landesamt für Denkmalpflege und Archäologisches Landesmuseum.</w:t>
      </w:r>
    </w:p>
    <w:p>
      <w:r>
        <w:t xml:space="preserve">(2) Die Denkmalfachbehörde hat insbesondere folgende Aufgaben:</w:t>
      </w:r>
    </w:p>
    <w:p>
      <w:r>
        <w:t xml:space="preserve">Feststellung der Denkmaleigenschaft und systematische Erfassung des Denkmalbestandes (Inventarisation) sowie Führung der Denkmalliste,</w:t>
      </w:r>
    </w:p>
    <w:p>
      <w:r>
        <w:t xml:space="preserve">Erforschung der Denkmale,</w:t>
      </w:r>
    </w:p>
    <w:p>
      <w:r>
        <w:t xml:space="preserve">fachliche Beratung, Abgabe fachlicher Stellungnahmen auf Verlangen der Behörden, deren Belange durch Denkmalschutz und Denkmalpflege berührt sind, die Erstellung von Gutachten in allen Angelegenheiten der Denkmalpflege sowie fachlicher Publikationen,</w:t>
      </w:r>
    </w:p>
    <w:p>
      <w:r>
        <w:t xml:space="preserve">Unterhaltung des Archäologischen Landesmuseums und fachwissenschaftlicher Sammlungen und</w:t>
      </w:r>
    </w:p>
    <w:p>
      <w:r>
        <w:t xml:space="preserve">Berufung ehrenamtlicher Denkmalpfleger und Bodendenkmalpfleger.</w:t>
      </w:r>
    </w:p>
    <w:p>
      <w:r>
        <w:t xml:space="preserve">(3) Die Denkmalfachbehörde ist bei der Erstellung von Gutachten nicht an fachliche Weisungen gebunden.</w:t>
      </w:r>
    </w:p>
    <w:p>
      <w:r>
        <w:t xml:space="preserve">(4) Die Denkmalfachbehörde ist Träger öffentlicher Belange.</w:t>
      </w:r>
    </w:p>
    <w:p>
      <w:r>
        <w:rPr>
          <w:color w:val="555555"/>
          <w:sz w:val="17"/>
        </w:rPr>
        <w:t xml:space="preserve">Zitiervorschlag: § 17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