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BbgDSchG (Brandenburg) — Kennzeichnung der Denkmale</w:t>
      </w:r>
    </w:p>
    <w:p>
      <w:r>
        <w:rPr>
          <w:color w:val="555555"/>
          <w:sz w:val="18"/>
        </w:rPr>
        <w:t xml:space="preserve">Brandenburgisches Denkmalschutzgesetz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Denkmale sollen gekennzeichnet werden. Dabei soll von der obersten Denkmalschutzbehörde eine Plakette herausgegeben werden. Verfügungsberechtigte haben die Anbringung von Kennzeichen und Erläuterungstafeln zu dulden.</w:t>
      </w:r>
    </w:p>
    <w:p>
      <w:r>
        <w:rPr>
          <w:color w:val="555555"/>
          <w:sz w:val="17"/>
        </w:rPr>
        <w:t xml:space="preserve">Zitiervorschlag: § 15 BbgDSchG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https://recht.nulegal.eu/gesetze/BbgDSchG/15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