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BbgDSchG (Brandenburg) — Anzeigepflicht</w:t>
      </w:r>
    </w:p>
    <w:p>
      <w:r>
        <w:rPr>
          <w:color w:val="555555"/>
          <w:sz w:val="18"/>
        </w:rPr>
        <w:t xml:space="preserve">Brandenburgisches Denkmalschutzgesetz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Verfügungsberechtigte haben Schäden oder Mängel, die an Denkmalen auftreten oder die ihre Erhaltung gefährden können, unverzüglich der Denkmalschutzbehö;rde anzuzeigen.</w:t>
      </w:r>
    </w:p>
    <w:p>
      <w:r>
        <w:t xml:space="preserve">(2) Wird ein Grundstück mit einem in die Denkmalliste eingetragenen Denkmal veräußert, so hat der Veräußerer den Erwerber auf den bestehenden Schutz hinzuweisen und unverzüglich der Denkmalschutzbehörde den Eigentumswechsel anzuzeigen.</w:t>
      </w:r>
    </w:p>
    <w:p>
      <w:r>
        <w:rPr>
          <w:color w:val="555555"/>
          <w:sz w:val="17"/>
        </w:rPr>
        <w:t xml:space="preserve">Zitiervorschlag: § 13 BbgDSchG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https://recht.nulegal.eu/gesetze/BbgDSchG/13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