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BbgDSchG (Brandenburg) — Schatzregal</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Bewegliche Denkmale und bewegliche Bodendenkmale, die herrenlos sind oder die so lange verborgen waren, dass ihr Eigentümer nicht mehr zu ermitteln ist, werden mit der Entdeckung Eigentum des Landes und sind unverzüglich an die Denkmalfachbehörde zu übergeben, wenn sie bei archäologischen Untersuchungen, in Grabungsschutzgebieten oder bei unerlaubten Nachforschungen entdeckt werden oder wenn sie für die wissenschaftliche Forschung von Wert sind.</w:t>
      </w:r>
    </w:p>
    <w:p>
      <w:r>
        <w:t xml:space="preserve">(2) Dem Entdecker zufälliger Funde, die nach Absatz 1 Eigentum des Landes werden, ist durch die Denkmalfachbehörde eine angemessene Belohnung in Geld zu gewähren, es sei denn, bewegliche Bodendenkmale sind bei unerlaubten Nachforschungen entdeckt worden.</w:t>
      </w:r>
    </w:p>
    <w:p>
      <w:r>
        <w:rPr>
          <w:color w:val="555555"/>
          <w:sz w:val="17"/>
        </w:rPr>
        <w:t xml:space="preserve">Zitiervorschlag: § 12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