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BbgDSchG (Brandenburg) — Funde</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Funde sind Sachen, Mehrheiten von Sachen, Teile oder Spuren von Sachen, von denen anzunehmen ist, dass es sich um Denkmale (§ 2 Abs. 1) handelt. Deren Entdeckung ist unverzüglich der Denkmalschutzbehörde anzuzeigen.</w:t>
      </w:r>
    </w:p>
    <w:p>
      <w:r>
        <w:t xml:space="preserve">(2) Anzeigepflichtig sind der Entdecker, der Verfügungsberechtigte des Grundstücks sowie der Leiter der Arbeiten, bei denen der Fund entdeckt wurde. Die Anzeige durch eine dieser Personen befreit die übrigen.</w:t>
      </w:r>
    </w:p>
    <w:p>
      <w:r>
        <w:t xml:space="preserve">(3) Der Fund und die Fundstelle sind bis zum Ablauf einer Woche nach der Anzeige in unverändertem Zustand zu erhalten und in geeigneter Weise vor Gefahren für die Erhaltung des Fundes zu schützen. Die Denkmalschutzbehörde kann die Frist um bis zu zwei Monate verlängern, wenn die Bergung und Dokumentation des Fundes dies erfordert. Besteht an der Bergung und Dokumentation des Fundes aufgrund seiner Bedeutung ein besonderes öffentliches Interesse, kann die Frist auf Verlangen der Denkmalfachbehörde um einen weiteren Monat verlängert werden. § 7 Abs. 3 bleibt unberührt. Innerhalb der in Satz 2 genannten Frist hat die Denkmalschutzbehörde dem Veranlasser die mit der Bergung und Dokumentation verbundenen Kosten mitzuteilen.</w:t>
      </w:r>
    </w:p>
    <w:p>
      <w:r>
        <w:t xml:space="preserve">(4) Die Denkmalfachbehörde ist berechtigt, den Fund zur wissenschaftlichen Bearbeitung in Besitz zu nehmen.</w:t>
      </w:r>
    </w:p>
    <w:p>
      <w:r>
        <w:rPr>
          <w:color w:val="555555"/>
          <w:sz w:val="17"/>
        </w:rPr>
        <w:t xml:space="preserve">Zitiervorschlag: § 11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