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BbgDSchG (Brandenburg) — Grundsätze</w:t>
      </w:r>
    </w:p>
    <w:p>
      <w:r>
        <w:rPr>
          <w:color w:val="555555"/>
          <w:sz w:val="18"/>
        </w:rPr>
        <w:t xml:space="preserve">Brandenburgisches Denkmalschutzgesetz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Denkmale sind als Quellen und Zeugnisse menschlicher Geschichte und prägende Bestandteile der Kulturlandschaft des Landes Brandenburg nach den Bestimmungen dieses Gesetzes zu schützen, zu erhalten, zu pflegen und zu erforschen.</w:t>
      </w:r>
    </w:p>
    <w:p>
      <w:r>
        <w:t xml:space="preserve">(2) Das Land, Gemeinden und Gemeindeverbände, Behörden und öffentliche Stellen haben im Rahmen ihrer Zuständigkeit die Verwirklichung der Ziele des Denkmalschutzes und der Denkmalpflege zu unterstützen. Sie haben die für Denkmalschutz und Denkmalpflege zuständigen Behörden bereits bei der Vorbereitung aller öffentlichen Planungen und Maßnahmen, die die Belange des Denkmalschutzes und der Denkmalpflege berühren können, zu unterrichten und anzuhören, soweit nicht eine weitergehende Form der Beteiligung vorgeschrieben ist.</w:t>
      </w:r>
    </w:p>
    <w:p>
      <w:r>
        <w:t xml:space="preserve">(3) Die für Denkmalschutz und Denkmalpflege zuständigen Behörden wirken darauf hin, dass Denkmale in die Raumordnung, Landesplanung, städtebauliche Entwicklung und Landespflege einbezogen und sinnvoll genutzt werden.</w:t>
      </w:r>
    </w:p>
    <w:p>
      <w:r>
        <w:t xml:space="preserve">(4) Denkmalschutz und Denkmalpflege berücksichtigen die Belange von Menschen mit Behinderung im Rahmen der geltenden Gesetze.</w:t>
      </w:r>
    </w:p>
    <w:p>
      <w:r>
        <w:rPr>
          <w:color w:val="555555"/>
          <w:sz w:val="17"/>
        </w:rPr>
        <w:t xml:space="preserve">Zitiervorschlag: § 1 BbgDSchG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https://recht.nulegal.eu/gesetze/BbgDSchG/1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