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BbgDSG (Brandenburg) — Freigabeverfahren und Einsicht in das Verzeichnis der Verarbeitungstätigkeiten</w:t>
      </w:r>
    </w:p>
    <w:p>
      <w:r>
        <w:rPr>
          <w:color w:val="555555"/>
          <w:sz w:val="18"/>
        </w:rPr>
        <w:t xml:space="preserve">Brandenburgisches Datenschutzgesetz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Jede mittels automatisierter Verfahren vorgesehene Verarbeitung personenbezogener Daten bedarf vor ihrem Beginn oder vor einer wesentlichen Änderung der schriftlichen oder elektronischen Freigabe. In der Freigabeerklärung ist zu bestätigen, dass</w:t>
      </w:r>
    </w:p>
    <w:p>
      <w:r>
        <w:t xml:space="preserve">die Verarbeitung im Einklang mit den Artikeln 5 und 6 der Verordnung (EU) 2016/679 erfolgt,</w:t>
      </w:r>
    </w:p>
    <w:p>
      <w:r>
        <w:t xml:space="preserve">ein aus einer Risikoanalyse und unter Berücksichtigung der Vorgaben von Artikel 32 der Verordnung (EU) 2016/679 entwickeltes Sicherheitskonzept ergeben hat, dass geeignete technische und organisatorische Maßnahmen getroffen sind, um ein dem Risiko für die Rechte und Freiheiten der betroffenen Personen angemessenes Schutzniveau zu gewährleisten, und</w:t>
      </w:r>
    </w:p>
    <w:p>
      <w:r>
        <w:t xml:space="preserve">für die Verfahren, von denen voraussichtlich ein hohes Risiko für die Rechte und Freiheiten der betroffenen Personen ausgeht, eine Datenschutz-Folgenabschätzung gemäß Artikel 35 der Verordnung (EU) 2016/679 erfolgt ist.</w:t>
      </w:r>
    </w:p>
    <w:p>
      <w:r>
        <w:t xml:space="preserve">Die Freigabe erfolgt durch den Verantwortlichen. Bei gemeinsamen Verfahren kann die Zuständigkeit für die Freigabe entsprechend Artikel 26 Absatz 1 der Verordnung (EU) 2016/679 vereinbart werden. Die Freigabeerklärung ist dem Verzeichnis nach Artikel 30 der Verordnung (EU) 2016/679 beizufügen.</w:t>
      </w:r>
    </w:p>
    <w:p>
      <w:r>
        <w:t xml:space="preserve">(2) Absatz 1 Satz 1 gilt nicht für</w:t>
      </w:r>
    </w:p>
    <w:p>
      <w:r>
        <w:t xml:space="preserve">Verfahren, deren einziger Zweck das Führen eines Registers ist, das zur Information der Öffentlichkeit bestimmt ist oder allen Personen, die ein berechtigtes Interesse nachweisen können, zur Einsichtnahme offensteht,</w:t>
      </w:r>
    </w:p>
    <w:p>
      <w:r>
        <w:t xml:space="preserve">Verfahren, soweit mit ihnen Datensammlungen erstellt werden, die nur vorübergehend vorgehalten und innerhalb von drei Monaten nach ihrer Erstellung gelöscht werden,</w:t>
      </w:r>
    </w:p>
    <w:p>
      <w:r>
        <w:t xml:space="preserve">Verfahren, die unter Einsatz handelsüblicher Schreibprogramme ablaufen,</w:t>
      </w:r>
    </w:p>
    <w:p>
      <w:r>
        <w:t xml:space="preserve">Verfahren, die ausschließlich der Datensicherung und Datenschutzkontrolle dienen,</w:t>
      </w:r>
    </w:p>
    <w:p>
      <w:r>
        <w:t xml:space="preserve">Verfahren, die ausschließlich dem Auffinden von Vorgängen, Anträgen oder Akten dienen (Registraturverfahren),</w:t>
      </w:r>
    </w:p>
    <w:p>
      <w:r>
        <w:t xml:space="preserve">Verfahren, die ausschließlich zur Überwachung von Terminen und Fristen dienen,</w:t>
      </w:r>
    </w:p>
    <w:p>
      <w:r>
        <w:t xml:space="preserve">Zimmer-, Inventar- und Softwareverzeichnisse,</w:t>
      </w:r>
    </w:p>
    <w:p>
      <w:r>
        <w:t xml:space="preserve">Bibliothekskataloge und Fundstellenverzeichnisse oder</w:t>
      </w:r>
    </w:p>
    <w:p>
      <w:r>
        <w:t xml:space="preserve">Anschriftenverzeichnisse, die ausschließlich für die Versendung von Informationen an betroffene Personen genutzt werden.</w:t>
      </w:r>
    </w:p>
    <w:p>
      <w:r>
        <w:t xml:space="preserve">(3) Das Verzeichnis nach Artikel 30 der Verordnung (EU) 2016/679 einschließlich der Freigabeerklärung nach Absatz 1 kann von jedermann unentgeltlich eingesehen werden. Dies gilt nicht für Angaben nach Artikel 30 Absatz 1 Satz 2 Buchstabe g und Absatz 2 Buchstabe d der Verordnung (EU) 2016/679, soweit hierdurch die Sicherheit des Verfahrens beeinträchtigt würde. Satz 1 gilt nicht für</w:t>
      </w:r>
    </w:p>
    <w:p>
      <w:r>
        <w:t xml:space="preserve">Verfahren der Verfassungsschutzbehörde,</w:t>
      </w:r>
    </w:p>
    <w:p>
      <w:r>
        <w:t xml:space="preserve">Verfahren, die der Gefahrenabwehr oder der Strafverfolgung dienen, und</w:t>
      </w:r>
    </w:p>
    <w:p>
      <w:r>
        <w:t xml:space="preserve">Verfahren der Steuerfahndung,</w:t>
      </w:r>
    </w:p>
    <w:p>
      <w:r>
        <w:t xml:space="preserve">soweit die verantwortliche Stelle eine Einsichtnahme im Einzelfall mit der Erfüllung ihrer Aufgaben für unvereinbar erklärt.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BbgDSG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https://recht.nulegal.eu/gesetze/BbgDSG/4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