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BbgDSG (Brandenburg) — Ordnungswidrigkeiten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handelt, wer entgegen den Vorschriften der Verordnung (EU) 2016/679, dieses Gesetzes oder einer anderen Rechtsvorschrift über den Schutz personenbezogener Daten, personenbezogene Daten, die nicht offenkundig sind,</w:t>
      </w:r>
    </w:p>
    <w:p>
      <w:r>
        <w:t xml:space="preserve">erhebt, speichert, verwendet, verändert, übermittelt, weitergibt, zum Abruf bereithält, den Personenbezug herstellt oder löscht,</w:t>
      </w:r>
    </w:p>
    <w:p>
      <w:r>
        <w:t xml:space="preserve">abruft, einsieht, sich verschafft oder durch Vortäuschung falscher Tatsachen ihre Übermittlung oder Weitergabe an sich oder andere veranlasst oder</w:t>
      </w:r>
    </w:p>
    <w:p>
      <w:r>
        <w:t xml:space="preserve">in anderer Weise verarbeitet.</w:t>
      </w:r>
    </w:p>
    <w:p>
      <w:r>
        <w:t xml:space="preserve">Ordnungswidrig handelt auch, wer unter den in Satz 1 genannten Voraussetzungen Einzelangaben über persönliche oder sachliche Verhältnisse einer nicht mehr bestimmbaren Person mit anderen Informationen zusammenführt und dadurch die betroffene Person wieder bestimmbar macht.</w:t>
      </w:r>
    </w:p>
    <w:p>
      <w:r>
        <w:t xml:space="preserve">(2) Die Ordnungswidrigkeit kann mit einer Geldbuße bis zu fünfzigtausend Euro geahndet werden.</w:t>
      </w:r>
    </w:p>
    <w:p>
      <w:r>
        <w:t xml:space="preserve">(3) Gegen Behörden oder sonstige öffentliche Stellen im Sinne von § 2 Absatz 1 und 2 werden keine Geldbußen verhängt.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32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