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BbgDSG (Brandenburg) — Begnadigungsverfahren</w:t>
      </w:r>
    </w:p>
    <w:p>
      <w:r>
        <w:rPr>
          <w:color w:val="555555"/>
          <w:sz w:val="18"/>
        </w:rPr>
        <w:t xml:space="preserve">Brandenburgisches 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Begnadigungsverfahren ist die Verarbeitung personenbezogener Daten einschließlich Daten im Sinne von Artikel 9 Absatz 1 der Verordnung (EU) 2016/679 zulässig, soweit sie zur Ausübung des Gnadenrechts durch die zuständigen Stellen erforderlich ist. Diese Datenverarbeitung unterliegt nicht der Kontrolle durch die oder den Landesbeauftragten.</w:t>
      </w:r>
    </w:p>
    <w:p>
      <w:r>
        <w:t xml:space="preserve">(2) In Begnadigungsverfahren gelten nur die Artikel 4 bis 7 sowie Kapitel IV mit Ausnahme von Artikel 33 der Verordnung (EU) 2016/679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31 BbgDSG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https://recht.nulegal.eu/gesetze/BbgDSG/31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