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BbgDSG (Brandenburg) — Videoüberwachung öffentlich zugänglicher Räume</w:t>
      </w:r>
    </w:p>
    <w:p>
      <w:r>
        <w:rPr>
          <w:color w:val="555555"/>
          <w:sz w:val="18"/>
        </w:rPr>
        <w:t xml:space="preserve">Brandenburgisches 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Erhebung personenbezogener Daten mit Hilfe von optisch-elektronischen Einrichtungen (Videoüberwachung) und deren weitere Verarbeitung ist zulässig, wenn dies</w:t>
      </w:r>
    </w:p>
    <w:p>
      <w:r>
        <w:t xml:space="preserve">zur Erfüllung der Aufgaben öffentlicher Stellen,</w:t>
      </w:r>
    </w:p>
    <w:p>
      <w:r>
        <w:t xml:space="preserve">zur Wahrnehmung des Hausrechts,</w:t>
      </w:r>
    </w:p>
    <w:p>
      <w:r>
        <w:t xml:space="preserve">zum Schutz des Eigentums oder Besitzes oder</w:t>
      </w:r>
    </w:p>
    <w:p>
      <w:r>
        <w:t xml:space="preserve">zur Kontrolle von Zugangsberechtigungen</w:t>
      </w:r>
    </w:p>
    <w:p>
      <w:r>
        <w:t xml:space="preserve">erforderlich ist und keine Anhaltspunkte bestehen, dass überwiegende schutzwürdige Interessen der betroffenen Personen entgegenstehen.</w:t>
      </w:r>
    </w:p>
    <w:p>
      <w:r>
        <w:t xml:space="preserve">(2) Die Videoüberwachung, die Angaben nach Artikel 13 Absatz 1 Buchstabe a bis c der Verordnung (EU) 2016/679 sowie die Möglichkeit, bei der oder dem Verantwortlichen die weiteren Informationen nach Artikel 13 der Verordnung (EU) 2016/679 zu erhalten, sind durch geeignete Maßnahmen zum frühestmöglichen Zeitpunkt erkennbar zu machen.</w:t>
      </w:r>
    </w:p>
    <w:p>
      <w:r>
        <w:t xml:space="preserve">(3) Eine Verarbeitung zu anderen Zwecken ist nur zulässig, soweit dies zur Abwehr von Gefahren für die öffentliche Sicherheit oder zur Verfolgung von Straftaten erforderlich ist.</w:t>
      </w:r>
    </w:p>
    <w:p>
      <w:r>
        <w:t xml:space="preserve">(4) Werden durch eine Videoüberwachung erhobene personenbezogene Daten einer bestimmten Person zugeordnet oder zu anderen als den in Absatz 1 genannten Zwecken verarbeitet, ist die betroffene Person ergänzend zu den Artikeln 13 und 14 der Verordnung (EU) 2016/679 zu informieren, soweit und solange der Zweck der Verarbeitung hierdurch nicht gefährdet wird. § 10 gilt entsprechend.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28 BbgDSG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https://recht.nulegal.eu/gesetze/BbgDSG/28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