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BbgDSG (Brandenburg) — Gerichtlicher Rechtsschutz</w:t>
      </w:r>
    </w:p>
    <w:p>
      <w:r>
        <w:rPr>
          <w:color w:val="555555"/>
          <w:sz w:val="18"/>
        </w:rPr>
        <w:t xml:space="preserve">Brandenburgisches Datenschutzgesetz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Streitigkeiten zwischen einer öffentlichen Stelle oder natürlichen Person und der oder dem Landesbeauftragten über Rechte gemäß § 2 Absatz 6 in Verbindung mit Artikel 78 Absatz 1 und 2 der Verordnung (EU) 2016/679 gilt § 20 des Bundesdatenschutzgesetzes entsprechend.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20 BbgDSG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https://recht.nulegal.eu/gesetze/BbgDSG/20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