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BbgDSG (Brandenburg) — Anwendungsbereich</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Dieses Gesetz gilt für die Behörden, Einrichtungen und sonstigen öffentlichen Stellen des Landes, die Gemeinden und Gemeindeverbände sowie für die sonstigen der Aufsicht des Landes oder der Gemeinden oder Gemeindeverbände unterstehenden juristischen Personen des öffentlichen Rechts und deren Vereinigungen (öffentliche Stellen), soweit diese personenbezogene Daten verarbeiten. Für die Gerichte sowie für die Behörden der Staatsanwaltschaft gilt dieses Gesetz, soweit sie Verwaltungsaufgaben wahrnehmen; darüber hinaus gelten für die Behörden der Staatsanwaltschaft, soweit sie keine Verwaltungsaufgaben wahrnehmen, nur die Vorschriften des Abschnitts 4. Nimmt eine nicht-öffentliche Stelle hoheitliche Aufgaben einer öffentlichen Stelle des Landes wahr, ist sie insoweit öffentliche Stelle im Sinne dieses Gesetzes.</w:t>
      </w:r>
    </w:p>
    <w:p>
      <w:r>
        <w:t xml:space="preserve">(2) Der Landtag, seine Gremien, seine Mitglieder, die Fraktionen und Gruppen sowie deren Verwaltungen und deren Beschäftigte unterliegen nicht den Bestimmungen dieses Gesetzes, soweit sie zur Wahrnehmung parlamentarischer Aufgaben personenbezogene Daten verarbeiten. Der Landtag erlässt insoweit unter Berücksichtigung seiner verfassungsrechtlichen Stellung, der Grundsätze der Verordnung (EU) 2016/679 und dieses Gesetzes eine Datenschutzordnung.</w:t>
      </w:r>
    </w:p>
    <w:p>
      <w:r>
        <w:t xml:space="preserve">(3) Dieses Gesetz findet keine Anwendung, soweit öffentliche Stellen nach Absatz 1 am Wettbewerb teilnehmen und personenbezogene Daten zu wirtschaftlichen Zwecken oder Zielen verarbeiten. Für diese Stellen gelten insoweit die auf nicht-öffentliche Stellen anzuwendenden Vorschriften.</w:t>
      </w:r>
    </w:p>
    <w:p>
      <w:r>
        <w:t xml:space="preserve">(4) Öffentliche Stellen des Landes, die als öffentlich-rechtliche Unternehmen am Wettbewerb teilnehmen, gelten als nicht-öffentliche Stellen.</w:t>
      </w:r>
    </w:p>
    <w:p>
      <w:r>
        <w:t xml:space="preserve">(5) Die Vorschriften der Verordnung (EU) 2016/679 in Verbindung mit diesem Gesetz gehen denen des Verwaltungsverfahrensgesetzes für das Land Brandenburg vor, soweit personenbezogene Daten verarbeitet werden.</w:t>
      </w:r>
    </w:p>
    <w:p>
      <w:r>
        <w:t xml:space="preserve">(6) Soweit die Verarbeitung personenbezogener Daten durch öffentliche Stellen nicht in den sachlichen Anwendungsbereich der Verordnung (EU) 2016/679 fällt, sind deren Vorschriften und die Vorschriften dieses Gesetzes entsprechend anzuwenden, es sei denn, dieses Gesetz oder andere spezielle Rechtsvorschriften enthalten abweichende Regelungen. Die Artikel 30, 35 und 36 der Verordnung (EU) 2016/679 gelten nur, soweit die Verarbeitung automatisiert erfolgt oder die Daten in einem Dateisystem gespeichert sind oder gespeichert werden sollen.</w:t>
      </w:r>
    </w:p>
    <w:p>
      <w:r>
        <w:t xml:space="preserve">Einzelnorm</w:t>
      </w:r>
    </w:p>
    <w:p>
      <w:r>
        <w:rPr>
          <w:color w:val="555555"/>
          <w:sz w:val="17"/>
        </w:rPr>
        <w:t xml:space="preserve">Zitiervorschlag: § 2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