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BbgDSG (Brandenburg) — Benachrichtigung der von einer Verletzung des Schutzes personenbezogener Daten betroffenen Person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Verantwortliche kann von der Benachrichtigung gemäß Artikel 34 der Verordnung (EU) 2016/679 der von einer Verletzung des Schutzes personenbezogener Daten betroffenen Person ergänzend zu den in Artikel 34 Absatz 3 der Verordnung (EU) 2016/679 genannten Ausnahmen absehen, soweit und solange</w:t>
      </w:r>
    </w:p>
    <w:p>
      <w:r>
        <w:t xml:space="preserve">die Information die öffentliche Sicherheit gefährden oder sonst dem Wohle des Bundes oder eines Landes Nachteile bereiten würde,</w:t>
      </w:r>
    </w:p>
    <w:p>
      <w:r>
        <w:t xml:space="preserve">die personenbezogenen Daten oder die Tatsache ihrer Verarbeitung nach einer Rechtsvorschrift oder wegen der Rechte und Freiheiten anderer Personen geheim zu halten sind oder</w:t>
      </w:r>
    </w:p>
    <w:p>
      <w:r>
        <w:t xml:space="preserve">die Information die Sicherheit von IT-Systemen gefährden würde.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