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BbgDLRLV (Brandenburg) — Anordnung einer Entscheidungsfrist</w:t>
      </w:r>
    </w:p>
    <w:p>
      <w:r>
        <w:rPr>
          <w:color w:val="555555"/>
          <w:sz w:val="18"/>
        </w:rPr>
        <w:t xml:space="preserve">Brandenburgische Dienstleistungsrichtlinienverordnung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</w:t>
      </w:r>
    </w:p>
    <w:p>
      <w:r>
        <w:t xml:space="preserve">folgenden Verfahren ist über den Genehmigungsantrag innerhalb von drei Monaten</w:t>
      </w:r>
    </w:p>
    <w:p>
      <w:r>
        <w:t xml:space="preserve">zu entscheiden:</w:t>
      </w:r>
    </w:p>
    <w:p>
      <w:r>
        <w:t xml:space="preserve">Verfahren nach</w:t>
      </w:r>
    </w:p>
    <w:p>
      <w:r>
        <w:t xml:space="preserve">§ 7 Absatz 1 und § 20 Absatz 1 des Sprengstoffgesetzes,</w:t>
      </w:r>
    </w:p>
    <w:p>
      <w:r>
        <w:t xml:space="preserve">Verfahren nach</w:t>
      </w:r>
    </w:p>
    <w:p>
      <w:r>
        <w:t xml:space="preserve">§ 32 Absatz 1 der Ersten Verordnung zum Sprengstoffgesetz,</w:t>
      </w:r>
    </w:p>
    <w:p>
      <w:r>
        <w:t xml:space="preserve">Verfahren nach</w:t>
      </w:r>
    </w:p>
    <w:p>
      <w:r>
        <w:t xml:space="preserve">§ 10 des Eichgesetzes,</w:t>
      </w:r>
    </w:p>
    <w:p>
      <w:r>
        <w:t xml:space="preserve">Verfahren nach</w:t>
      </w:r>
    </w:p>
    <w:p>
      <w:r>
        <w:t xml:space="preserve">den §§ 65 und 72 der Eichordnung,</w:t>
      </w:r>
    </w:p>
    <w:p>
      <w:r>
        <w:t xml:space="preserve">Verfahren nach</w:t>
      </w:r>
    </w:p>
    <w:p>
      <w:r>
        <w:t xml:space="preserve">§ 13 der Markscheider-Bergverordnung.</w:t>
      </w:r>
    </w:p>
    <w:p>
      <w:r>
        <w:t xml:space="preserve">(2)</w:t>
      </w:r>
    </w:p>
    <w:p>
      <w:r>
        <w:t xml:space="preserve">In folgenden Verfahren ist über den Genehmigungsantrag</w:t>
      </w:r>
    </w:p>
    <w:p>
      <w:r>
        <w:t xml:space="preserve">innerhalb von sechs Monaten zu entscheiden:</w:t>
      </w:r>
    </w:p>
    <w:p>
      <w:r>
        <w:t xml:space="preserve">Verfahren nach</w:t>
      </w:r>
    </w:p>
    <w:p>
      <w:r>
        <w:t xml:space="preserve">§ 18 Absatz 1, § 21 Absatz 1 sowie § 21a des Waffengesetzes,</w:t>
      </w:r>
    </w:p>
    <w:p>
      <w:r>
        <w:t xml:space="preserve">Verfahren nach</w:t>
      </w:r>
    </w:p>
    <w:p>
      <w:r>
        <w:t xml:space="preserve">§ 4 des</w:t>
      </w:r>
    </w:p>
    <w:p>
      <w:r>
        <w:t xml:space="preserve">Energiewirtschaftsgesetzes,</w:t>
      </w:r>
    </w:p>
    <w:p>
      <w:r>
        <w:t xml:space="preserve">Verfahren nach</w:t>
      </w:r>
    </w:p>
    <w:p>
      <w:r>
        <w:t xml:space="preserve">§ 5 Absatz 1 der Verordnung über Heizkostenabrechnung.</w:t>
      </w:r>
    </w:p>
    <w:p>
      <w:r>
        <w:t xml:space="preserve">(3) Auf</w:t>
      </w:r>
    </w:p>
    <w:p>
      <w:r>
        <w:t xml:space="preserve">die Verfahren nach den Absätzen 1 und 2 findet § 1 des</w:t>
      </w:r>
    </w:p>
    <w:p>
      <w:r>
        <w:t xml:space="preserve">Verwaltungsverfahrensgesetzes für das Land Brandenburg in Verbindung mit § 42a</w:t>
      </w:r>
    </w:p>
    <w:p>
      <w:r>
        <w:t xml:space="preserve">Absatz 2 Satz 2 bis 4 des Verwaltungsverfahrensgesetzes Anwendung.</w:t>
      </w:r>
    </w:p>
    <w:p>
      <w:r>
        <w:rPr>
          <w:color w:val="555555"/>
          <w:sz w:val="17"/>
        </w:rPr>
        <w:t xml:space="preserve">Zitiervorschlag: § 3 BbgDLRLV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https://recht.nulegal.eu/gesetze/BbgDLRLV/3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