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BbgDLRLV (Brandenburg) — Abweichende Regelungen zur Anordnung des Verfahrens über eine einheitliche Stelle in Vorschriften des Bundes</w:t>
      </w:r>
    </w:p>
    <w:p>
      <w:r>
        <w:rPr>
          <w:color w:val="555555"/>
          <w:sz w:val="18"/>
        </w:rPr>
        <w:t xml:space="preserve">Brandenburgische Dienstleistungsrichtlinienverordnung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Verfahren</w:t>
      </w:r>
    </w:p>
    <w:p>
      <w:r>
        <w:t xml:space="preserve">sind abweichend von Vorschriften auf bundesgesetzlicher Grundlage nicht über</w:t>
      </w:r>
    </w:p>
    <w:p>
      <w:r>
        <w:t xml:space="preserve">eine einheitliche Stelle gemäß den §§ 71a bis 71e des</w:t>
      </w:r>
    </w:p>
    <w:p>
      <w:r>
        <w:t xml:space="preserve">Verwaltungsverfahrensgesetzes abzuwickeln:</w:t>
      </w:r>
    </w:p>
    <w:p>
      <w:r>
        <w:t xml:space="preserve">mit Ausnahme</w:t>
      </w:r>
    </w:p>
    <w:p>
      <w:r>
        <w:t xml:space="preserve">der Verfahren nach § 7 Absatz 1 und § 20 Absatz 1 alle übrigen Verfahren</w:t>
      </w:r>
    </w:p>
    <w:p>
      <w:r>
        <w:t xml:space="preserve">nach dem Sprengstoffgesetz in der Fassung der Bekanntmachung vom 10.</w:t>
      </w:r>
    </w:p>
    <w:p>
      <w:r>
        <w:t xml:space="preserve">September 2002 (BGBl. I S. 3518), das zuletzt durch Artikel 4 des Gesetzes</w:t>
      </w:r>
    </w:p>
    <w:p>
      <w:r>
        <w:t xml:space="preserve">vom 11. August 2009 (BGBl. I S. 2723) geändert worden ist ,</w:t>
      </w:r>
    </w:p>
    <w:p>
      <w:r>
        <w:t xml:space="preserve">mit Ausnahme</w:t>
      </w:r>
    </w:p>
    <w:p>
      <w:r>
        <w:t xml:space="preserve">des Verfahrens nach § 32 Absatz 1 alle übrigen Verfahren nach der Ersten</w:t>
      </w:r>
    </w:p>
    <w:p>
      <w:r>
        <w:t xml:space="preserve">Verordnung zum Sprengstoffgesetz in der Fassung der Bekanntmachung vom 31.</w:t>
      </w:r>
    </w:p>
    <w:p>
      <w:r>
        <w:t xml:space="preserve">Januar 1991 (BGBl. I S. 169), die zuletzt durch Artikel 2 des Gesetzes vom</w:t>
      </w:r>
    </w:p>
    <w:p>
      <w:r>
        <w:t xml:space="preserve">17. Juli 2009 (BGBl. I S. 2062) geändert worden ist,</w:t>
      </w:r>
    </w:p>
    <w:p>
      <w:r>
        <w:t xml:space="preserve">Verfahren nach</w:t>
      </w:r>
    </w:p>
    <w:p>
      <w:r>
        <w:t xml:space="preserve">der Zweiten Verordnung zum Sprengstoffgesetz in der Fassung der</w:t>
      </w:r>
    </w:p>
    <w:p>
      <w:r>
        <w:t xml:space="preserve">Bekanntmachung vom</w:t>
      </w:r>
    </w:p>
    <w:p>
      <w:r>
        <w:t xml:space="preserve">10. September 2002 (BGBl. I S. 3543), die zuletzt durch Artikel 6 Absatz 1</w:t>
      </w:r>
    </w:p>
    <w:p>
      <w:r>
        <w:t xml:space="preserve">der Verordnung vom 6. März 2007 (BGBl. I S. 261) geändert worden ist,</w:t>
      </w:r>
    </w:p>
    <w:p>
      <w:r>
        <w:t xml:space="preserve">Verfahren nach</w:t>
      </w:r>
    </w:p>
    <w:p>
      <w:r>
        <w:t xml:space="preserve">der Dritten Verordnung zum Sprengstoffgesetz vom 23. Juni 1978 (BGBl. I</w:t>
      </w:r>
    </w:p>
    <w:p>
      <w:r>
        <w:t xml:space="preserve">S. 783),</w:t>
      </w:r>
    </w:p>
    <w:p>
      <w:r>
        <w:t xml:space="preserve">mit Ausnahme</w:t>
      </w:r>
    </w:p>
    <w:p>
      <w:r>
        <w:t xml:space="preserve">der Verfahren nach § 18 Absatz 1, § 21 Absatz 1 sowie den §§ 21a, 34</w:t>
      </w:r>
    </w:p>
    <w:p>
      <w:r>
        <w:t xml:space="preserve">Absatz 2, 4 und 5 alle übrigen Verfahren des Waffengesetzes vom 11. Oktober</w:t>
      </w:r>
    </w:p>
    <w:p>
      <w:r>
        <w:t xml:space="preserve">2002 (BGBl. I S. 3970, 4592; 2003 I S. 1957), das</w:t>
      </w:r>
    </w:p>
    <w:p>
      <w:r>
        <w:t xml:space="preserve">zuletzt durch Artikel 3 Absatz 5 des Gesetzes vom 17. Juli 2009 (BGBl. I</w:t>
      </w:r>
    </w:p>
    <w:p>
      <w:r>
        <w:t xml:space="preserve">S. 2062) geändert worden ist,</w:t>
      </w:r>
    </w:p>
    <w:p>
      <w:r>
        <w:t xml:space="preserve">mit Ausnahme</w:t>
      </w:r>
    </w:p>
    <w:p>
      <w:r>
        <w:t xml:space="preserve">der Verfahren nach § 10 Absatz 2 und § 22 Absatz 2 und 3 alle übrigen</w:t>
      </w:r>
    </w:p>
    <w:p>
      <w:r>
        <w:t xml:space="preserve">Verfahren der Allgemeinen Waffengesetz-Verordnung vom 27. Oktober 2003</w:t>
      </w:r>
    </w:p>
    <w:p>
      <w:r>
        <w:t xml:space="preserve">(BGBl. I S. 2123), die zuletzt durch Artikel 3</w:t>
      </w:r>
    </w:p>
    <w:p>
      <w:r>
        <w:t xml:space="preserve">Absatz 6 des Gesetzes vom 17. Juli 2009 (BGBl. I S. 2062) geändert worden</w:t>
      </w:r>
    </w:p>
    <w:p>
      <w:r>
        <w:t xml:space="preserve">ist,</w:t>
      </w:r>
    </w:p>
    <w:p>
      <w:r>
        <w:t xml:space="preserve">Verfahren nach</w:t>
      </w:r>
    </w:p>
    <w:p>
      <w:r>
        <w:t xml:space="preserve">den §§ 30, 33c, 33d, 33i, 34, 34a, 34c Absatz 1 Satz 1 Nummer 1a, 2 und 3,</w:t>
      </w:r>
    </w:p>
    <w:p>
      <w:r>
        <w:t xml:space="preserve">den §§ 34d, 34e, 55b Absatz 2 und § 60a der Gewerbeordnung in der Fassung</w:t>
      </w:r>
    </w:p>
    <w:p>
      <w:r>
        <w:t xml:space="preserve">der Bekanntmachung vom 22. Februar 1999 (BGBl. I S. 202), die zuletzt durch</w:t>
      </w:r>
    </w:p>
    <w:p>
      <w:r>
        <w:t xml:space="preserve">Artikel 4 Absatz 14 des Gesetzes vom 29. Juli 2009 (BGBl. I S. 2258)</w:t>
      </w:r>
    </w:p>
    <w:p>
      <w:r>
        <w:t xml:space="preserve">geändert worden ist.</w:t>
      </w:r>
    </w:p>
    <w:p>
      <w:r>
        <w:rPr>
          <w:color w:val="555555"/>
          <w:sz w:val="17"/>
        </w:rPr>
        <w:t xml:space="preserve">Zitiervorschlag: § 2 BbgDLRLV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https://recht.nulegal.eu/gesetze/BbgDLRLV/2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