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BbgDüV (Brandenburg) — Inkrafttreten, Außerkrafttreten</w:t>
      </w:r>
    </w:p>
    <w:p>
      <w:r>
        <w:rPr>
          <w:color w:val="555555"/>
          <w:sz w:val="18"/>
        </w:rPr>
        <w:t xml:space="preserve">Brandenburgische Düngeverordnung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30. November 2022 in Kraft. Gleichzeitig tritt die Brandenburgische Düngeverordnung vom 21. Dezember 2020 (GVBl. II Nr. 126) außer Kraft.</w:t>
      </w:r>
    </w:p>
    <w:p>
      <w:r>
        <w:t xml:space="preserve">Potsdam, den 28. November 2022</w:t>
      </w:r>
    </w:p>
    <w:p>
      <w:r>
        <w:t xml:space="preserve">Der Minister für Landwirtschaft,</w:t>
      </w:r>
    </w:p>
    <w:p>
      <w:r>
        <w:t xml:space="preserve">Umwelt und Klimaschutz</w:t>
      </w:r>
    </w:p>
    <w:p>
      <w:r>
        <w:t xml:space="preserve">Axel Vogel</w:t>
      </w:r>
    </w:p>
    <w:p>
      <w:r>
        <w:t xml:space="preserve">________________________</w:t>
      </w:r>
    </w:p>
    <w:p>
      <w:r>
        <w:t xml:space="preserve">*) Diese Verordnung dient der Umsetzung der Richtlinie 91/676/ EWG des Rates vom 12. Dezember 1991 zum Schutz der Gewässer vor Verunreinigung durch Nitrat aus landwirtschaftlichen Quellen ( ABl. L 375 vom 31.12.1991, S. 1), die zuletzt durch die Verordnung ( EG ) 1137/2008 ( ABl. L 311 vom 21.11.2008, S. 1) geändert worden ist.</w:t>
      </w:r>
    </w:p>
    <w:p>
      <w:r>
        <w:rPr>
          <w:color w:val="555555"/>
          <w:sz w:val="17"/>
        </w:rPr>
        <w:t xml:space="preserve">Zitiervorschlag: § 4 BbgDüV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https://recht.nulegal.eu/gesetze/BbgD%C3%BCV/4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