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BbgDüV (Brandenburg) — Ordnungswidrigkeiten</w:t>
      </w:r>
    </w:p>
    <w:p>
      <w:r>
        <w:rPr>
          <w:color w:val="555555"/>
          <w:sz w:val="18"/>
        </w:rPr>
        <w:t xml:space="preserve">Brandenburgische Düngeverordnung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Ordnungswidrig im Sinne des § 14 Absatz 2 Nummer 1 Buchstabe a des Düngegesetzes handelt, wer vorsätzlich oder fahrlässig entgegen den in § 1 genannten Anforderungen einen dort genannten Stoff aufbringt.</w:t>
      </w:r>
    </w:p>
    <w:p>
      <w:r>
        <w:rPr>
          <w:color w:val="555555"/>
          <w:sz w:val="17"/>
        </w:rPr>
        <w:t xml:space="preserve">Zitiervorschlag: § 3 BbgDüV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https://recht.nulegal.eu/gesetze/BbgD%C3%BCV/3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