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BbgDüV (Brandenburg) — Bekanntmachung der betroffenen Gebiete und Unterrichtung der Betriebe</w:t>
      </w:r>
    </w:p>
    <w:p>
      <w:r>
        <w:rPr>
          <w:color w:val="555555"/>
          <w:sz w:val="18"/>
        </w:rPr>
        <w:t xml:space="preserve">Brandenburgische Düngeverordnung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für Landwirtschaft zuständige Ministerium unterrichtet jährlich darüber, für welche Feldblöcke die in § 1 festgesetzten Anforderungen gelten.</w:t>
      </w:r>
    </w:p>
    <w:p>
      <w:r>
        <w:t xml:space="preserve">(2) Änderungen des Zuschnitts von Feldblöcken wirken sich im Hinblick auf die in § 1 genannten Anforderungen erst mit Ablauf des auf die jeweilige Änderung folgenden 1. Januar aus.</w:t>
      </w:r>
    </w:p>
    <w:p>
      <w:r>
        <w:rPr>
          <w:color w:val="555555"/>
          <w:sz w:val="17"/>
        </w:rPr>
        <w:t xml:space="preserve">Zitiervorschlag: § 2 BbgDüV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https://recht.nulegal.eu/gesetze/BbgD%C3%BCV/2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