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BbgCWPV (Brandenburg) — In-Kraft-Treten, Außer-Kraft-Treten</w:t>
      </w:r>
    </w:p>
    <w:p>
      <w:r>
        <w:rPr>
          <w:color w:val="555555"/>
          <w:sz w:val="18"/>
        </w:rPr>
        <w:t xml:space="preserve">Brandenburgische Camping- und Wochenendhausplatz-Verordnung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 Kraft. Mit dem In-Kraft-Treten dieser Verordnung tritt die Brandenburgische Camping- und Wochenendhausplatz-Verordnung vom 23. Juni 1995 ( GVBl. II S. 490), zuletzt geändert durch Verordnung vom 10. Januar 2001 (GVBl. II S. 8), außer Kraft.</w:t>
      </w:r>
    </w:p>
    <w:p>
      <w:r>
        <w:t xml:space="preserve">Potsdam, den 18. Mai 2005</w:t>
      </w:r>
    </w:p>
    <w:p>
      <w:r>
        <w:t xml:space="preserve">Der Minister für Infrastruktur und Raumordnung</w:t>
      </w:r>
    </w:p>
    <w:p>
      <w:r>
        <w:t xml:space="preserve">Frank Szymanski</w:t>
      </w:r>
    </w:p>
    <w:p>
      <w:r>
        <w:rPr>
          <w:color w:val="555555"/>
          <w:sz w:val="17"/>
        </w:rPr>
        <w:t xml:space="preserve">Zitiervorschlag: § 9 BbgCWPV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https://recht.nulegal.eu/gesetze/BbgCWPV/9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