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BbgCWPV (Brandenburg) — Ordnungswidrigkeiten</w:t>
      </w:r>
    </w:p>
    <w:p>
      <w:r>
        <w:rPr>
          <w:color w:val="555555"/>
          <w:sz w:val="18"/>
        </w:rPr>
        <w:t xml:space="preserve">Brandenburgische Camping- und Wochenendhausplatz-Verordnung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gemäß § 79 Abs. 3 Nr. 1 und 3 der Brandenburgischen Bauordnung handelt, wer vorsätzlich oder fahrlässig entgegen dem Gebot</w:t>
      </w:r>
    </w:p>
    <w:p>
      <w:r>
        <w:t xml:space="preserve">in § 6 Abs. 1 während des Betriebes nicht ständig erreichbar ist,</w:t>
      </w:r>
    </w:p>
    <w:p>
      <w:r>
        <w:t xml:space="preserve">in § 6 Abs. 2 Nr. 1 die Anlagen und Einrichtungen nicht in dem der Belegung des Platzes entsprechenden Umfang betriebsbereit hält,</w:t>
      </w:r>
    </w:p>
    <w:p>
      <w:r>
        <w:t xml:space="preserve">in § 6 Abs. 2 Nr. 2 die Brandschutzanforderungen nach § 4 Abs. 1 Satz 3 und Abs. 2 nicht einhält,</w:t>
      </w:r>
    </w:p>
    <w:p>
      <w:r>
        <w:t xml:space="preserve">in § 6 Abs. 2 Nr. 3 keinen Verbandskasten für Erste Hilfe bereithält.</w:t>
      </w:r>
    </w:p>
    <w:p>
      <w:r>
        <w:t xml:space="preserve">Die Ordnungswidrigkeit kann gemäß § 79 Abs. 5 der Brandenburgischen Bauordnung mit einer Geldbuße bis zu 500 000 Euro geahndet werden.</w:t>
      </w:r>
    </w:p>
    <w:p>
      <w:r>
        <w:rPr>
          <w:color w:val="555555"/>
          <w:sz w:val="17"/>
        </w:rPr>
        <w:t xml:space="preserve">Zitiervorschlag: § 8 BbgCWPV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https://recht.nulegal.eu/gesetze/BbgCWPV/8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