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BbgBrexitÜG (Brandenburg) — Ausnahme</w:t>
      </w:r>
    </w:p>
    <w:p>
      <w:r>
        <w:rPr>
          <w:color w:val="555555"/>
          <w:sz w:val="18"/>
        </w:rPr>
        <w:t xml:space="preserve">Brexit-Übergangsgesetz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1 findet keine Anwendung auf das Wahlrecht und die Wählbarkeit von Unionsbürgerinnen und Unionsbürgern bei den Kommunalwahlen sowie auf das Eintragungsrecht bei Bürgerbegehren und das Stimmrecht bei Bürgerentscheiden.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BbgBrexitÜG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https://recht.nulegal.eu/gesetze/BbgBrexit%C3%9CG/2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