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BbgBienG (Brandenburg) — Inkrafttreten, Außerkrafttreten</w:t>
      </w:r>
    </w:p>
    <w:p>
      <w:r>
        <w:rPr>
          <w:color w:val="555555"/>
          <w:sz w:val="18"/>
        </w:rPr>
        <w:t xml:space="preserve">Brandenburgisches Bienenzuchtgesetz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Gleichzeitig tritt die Anordnung über den Einsatz von Bienenvölkern</w:t>
      </w:r>
    </w:p>
    <w:p>
      <w:r>
        <w:t xml:space="preserve">zur Blütenbestäubung von Obst-, Ölfrucht- und</w:t>
      </w:r>
    </w:p>
    <w:p>
      <w:r>
        <w:t xml:space="preserve">Vermehrungskulturen sowie zur Nutzung sonstiger Kultur- und Naturtrachten vom</w:t>
      </w:r>
    </w:p>
    <w:p>
      <w:r>
        <w:t xml:space="preserve">18. September 1987 (GBl.I Nr. 25 S. 243) außer Kraft.</w:t>
      </w:r>
    </w:p>
    <w:p>
      <w:r>
        <w:t xml:space="preserve">Potsdam, den 8. Januar 1996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Dr. Herbert Knoblich</w:t>
      </w:r>
    </w:p>
    <w:p>
      <w:r>
        <w:rPr>
          <w:color w:val="555555"/>
          <w:sz w:val="17"/>
        </w:rPr>
        <w:t xml:space="preserve">Zitiervorschlag: § 5 BbgBienG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https://recht.nulegal.eu/gesetze/BbgBienG/5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