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BbgBiberV (Brandenburg) — Vergrämen von Bibern</w:t>
      </w:r>
    </w:p>
    <w:p>
      <w:r>
        <w:rPr>
          <w:color w:val="555555"/>
          <w:sz w:val="18"/>
        </w:rPr>
        <w:t xml:space="preserve">Brandenburgische Biberverordnung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Abweichend von § 44 Absatz 1 Nummer 3 des Bundesnaturschutzgesetzes wird nach § 4 berechtigten Personen gestattet, Biberbaue und -burgen zu verfüllen oder zu beseitigen. Zulässig sind auch gezielte optische oder akustische Störungen von Bibern sowie das Absenken oder Beseitigen von Biberdämmen, um Biberbaue und -burgen als Fortpflanzungs- oder Ruhestätten unbrauchbar zu machen und Biber aus den in § 1 Absatz 1 und 2 genannten Bereichen zu vertreiben.</w:t>
      </w:r>
    </w:p>
    <w:p>
      <w:r>
        <w:t xml:space="preserve">(2) Bei der Durchführung von Maßnahmen nach Absatz 1 dürfen Biber nicht verletzt oder getötet werden. Dies gilt nicht im Hochwasserfall ab Alarmstufe 2.</w:t>
      </w:r>
    </w:p>
    <w:p>
      <w:r>
        <w:rPr>
          <w:color w:val="555555"/>
          <w:sz w:val="17"/>
        </w:rPr>
        <w:t xml:space="preserve">Zitiervorschlag: § 2 BbgBiberV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https://recht.nulegal.eu/gesetze/BbgBiberV/2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