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BbgBestG (Brandenburg) — Klinische Sektion</w:t>
      </w:r>
    </w:p>
    <w:p>
      <w:r>
        <w:rPr>
          <w:color w:val="555555"/>
          <w:sz w:val="18"/>
        </w:rPr>
        <w:t xml:space="preserve">Brandenburgisches Bestattungsgesetz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klinische Sektion ist die letzte ärztliche Handlung im Interesse der Patienten und der Allgemeinheit.</w:t>
      </w:r>
    </w:p>
    <w:p>
      <w:r>
        <w:t xml:space="preserve">(2) Klinische Sektion (innere Leichenschau) ist die ärztliche fachgerechte Öffnung einer Leiche, die Entnahme und Untersuchung von Organen und Geweben sowie die äußere Wiederherstellung des Leichnams.</w:t>
      </w:r>
    </w:p>
    <w:p>
      <w:r>
        <w:t xml:space="preserve">(3) Sie ist Teil der Qualitätssicherung und dient der Überprüfung ärztlichen Handelns im Hinblick auf Diagnose, Therapie und Todesursache, der Lehre und Ausbildung, der Epidemiologie, der medizinischen Forschung sowie Begutachtung.</w:t>
      </w:r>
    </w:p>
    <w:p>
      <w:r>
        <w:rPr>
          <w:color w:val="555555"/>
          <w:sz w:val="17"/>
        </w:rPr>
        <w:t xml:space="preserve">Zitiervorschlag: § 8 BbgBestG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https://recht.nulegal.eu/gesetze/BbgBestG/8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