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BbgBestG (Brandenburg) — Kosten der Leichenschau</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Sterbefällen in Krankenhäusern und anderen Einrichtungen, zu deren Aufgaben auch die ärztliche Behandlung der aufgenommenen Personen gehört, kann eine besondere Vergütung für die Leichenschau und die Ausstellung des Totenscheins nicht verlangt werden. In den übrigen Fällen hat die zur Bestattung verpflichtete Person die Kosten für die Leichenschau und die Ausstellung des Totenscheins zu tragen oder der veranlassenden Person zu erstatten.</w:t>
      </w:r>
    </w:p>
    <w:p>
      <w:r>
        <w:t xml:space="preserve">(2) In den Fällen des § 14 trägt die Einrichtung, die die Leiche für Zwecke der Forschung und Lehre übernimmt, die Kosten der Leichenschau und die Ausstellung des Totenscheins.</w:t>
      </w:r>
    </w:p>
    <w:p>
      <w:r>
        <w:rPr>
          <w:color w:val="555555"/>
          <w:sz w:val="17"/>
        </w:rPr>
        <w:t xml:space="preserve">Zitiervorschlag: § 7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