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BbgBestG (Brandenburg) — Übergangsvorschrift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Rechte an Grabstätten, die bis zum Inkrafttreten des Gesetzes zur Änderung bestattungs- und gräberrechtlicher Vorschriften vom 15. Oktober 2018 ( GVBl. I Nr. 24) entgegen § 32 Absatz 2 vergeben wurden, bleiben unberührt.</w:t>
      </w:r>
    </w:p>
    <w:p>
      <w:r>
        <w:t xml:space="preserve">(2) Ärztinnen und Ärzte, die bisher mit der zweiten Leichenschau beauftragt waren, gelten bis zum Erlass eines Widerrufbescheides als ermächtigt im Sinne des § 23 Absatz 2.</w:t>
      </w:r>
    </w:p>
    <w:p>
      <w:r>
        <w:rPr>
          <w:color w:val="555555"/>
          <w:sz w:val="17"/>
        </w:rPr>
        <w:t xml:space="preserve">Zitiervorschlag: § 41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