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BbgBestG (Brandenburg) — Sonderbestimmungen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Unberührt bleiben:</w:t>
      </w:r>
    </w:p>
    <w:p>
      <w:r>
        <w:t xml:space="preserve">internationale Vereinbarungen, insbesondere über die Leichenbeförderung,</w:t>
      </w:r>
    </w:p>
    <w:p>
      <w:r>
        <w:t xml:space="preserve">Vorschriften über die Beförderung von Leichen auf Eisenbahnen, auf dem See- und auf dem Luftwege und</w:t>
      </w:r>
    </w:p>
    <w:p>
      <w:r>
        <w:t xml:space="preserve">Vorschriften über den Umgang mit radioaktiven Leichen.</w:t>
      </w:r>
    </w:p>
    <w:p>
      <w:r>
        <w:rPr>
          <w:color w:val="555555"/>
          <w:sz w:val="17"/>
        </w:rPr>
        <w:t xml:space="preserve">Zitiervorschlag: § 40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https://recht.nulegal.eu/gesetze/BbgBestG/40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