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BbgBestG (Brandenburg) — Ordnungswidrigkeiten</w:t>
      </w:r>
    </w:p>
    <w:p>
      <w:r>
        <w:rPr>
          <w:color w:val="555555"/>
          <w:sz w:val="18"/>
        </w:rPr>
        <w:t xml:space="preserve">Brandenburgisches Bestattungsgesetz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Ordnungswidrig handelt, wer vorsätzlich oder fahrlässig</w:t>
      </w:r>
    </w:p>
    <w:p>
      <w:r>
        <w:t xml:space="preserve">entgegen § 4 Absatz 2 die Leichenschau nicht unverzüglich veranlasst,</w:t>
      </w:r>
    </w:p>
    <w:p>
      <w:r>
        <w:t xml:space="preserve">entgegen § 5 Absatz 1 die Leichenschau nicht oder entgegen § 6 Absatz 1 Satz 1 die Leichenschau nicht unverzüglich oder nicht entsprechend § 6 Absatz 1 Satz 5 durchführt,</w:t>
      </w:r>
    </w:p>
    <w:p>
      <w:r>
        <w:t xml:space="preserve">entgegen § 6 Absatz 2 Satz 1, § 17 Absatz 3 Satz 3 oder § 23 Absatz 3 eine verlangte Auskunft nicht oder nicht richtig erteilt,</w:t>
      </w:r>
    </w:p>
    <w:p>
      <w:r>
        <w:t xml:space="preserve">entgegen § 6 Absatz 4 eine Leiche nicht mit einem Hinweis auf eine meldepflichtige Krankheit oder auf eine sonstige von der Leiche ausgehende Gefahr kennzeichnet oder entgegen § 18 Absatz 3 die Kennzeichnung auf dem Sarg nicht wiederholt,</w:t>
      </w:r>
    </w:p>
    <w:p>
      <w:r>
        <w:t xml:space="preserve">entgegen § 17 Absatz 1 einen Totenschein nicht, nicht richtig oder nicht vollständig ausstellt oder entgegen § 17 Absatz 3 Satz 2 einen Totenschein oder einen Sektionsschein nicht vervollständigt oder korrigiert,</w:t>
      </w:r>
    </w:p>
    <w:p>
      <w:r>
        <w:t xml:space="preserve">eine klinische Sektion nach § 10 ohne vorausgehende Leichenschau durchführt,</w:t>
      </w:r>
    </w:p>
    <w:p>
      <w:r>
        <w:t xml:space="preserve">eine klinische Sektion durchführt, obwohl sie nach § 10 Absatz 3 unzulässig ist,</w:t>
      </w:r>
    </w:p>
    <w:p>
      <w:r>
        <w:t xml:space="preserve">eine klinische Sektion außerhalb von Einrichtungen durchführt, die dafür nach § 11 Absatz 1 durch die oberste Landesgesundheitsbehörde benannt wurden,</w:t>
      </w:r>
    </w:p>
    <w:p>
      <w:r>
        <w:t xml:space="preserve">eine anatomische Sektion unter Verstoß gegen die Zulässigkeitsvoraussetzungen nach § 15 durchführt,</w:t>
      </w:r>
    </w:p>
    <w:p>
      <w:r>
        <w:t xml:space="preserve">entgegen § 18 Absatz 2 Leichen nicht in der erforderlichen Weise befördert,</w:t>
      </w:r>
    </w:p>
    <w:p>
      <w:r>
        <w:t xml:space="preserve">entgegen § 19 Absatz 2 Leichen und Körperteile nicht hygienisch einwandfrei und dem sittlichen Empfinden der Allgemeinheit entsprechend beseitigt,</w:t>
      </w:r>
    </w:p>
    <w:p>
      <w:r>
        <w:t xml:space="preserve">entgegen § 20 Absatz 1 und 3 als bestattungspflichtige Person nicht für die Bestattung sorgt,</w:t>
      </w:r>
    </w:p>
    <w:p>
      <w:r>
        <w:t xml:space="preserve">entgegen § 23 Absatz 1 eine Leiche ohne vorangegangene zweite Leichenschau einäschert,</w:t>
      </w:r>
    </w:p>
    <w:p>
      <w:r>
        <w:t xml:space="preserve">entgegen § 23 Absatz 4 eine Leiche außerhalb einer Feuerbestattungsanlage einäschert,</w:t>
      </w:r>
    </w:p>
    <w:p>
      <w:r>
        <w:t xml:space="preserve">entgegen § 23 Absatz 5 und § 19 die Totenasche ganz oder teilweise der Beisetzung entzieht oder die Möglichkeit zur Entziehung vermittelt oder bei der Herstellung von Sachen verwendet oder die Möglichkeit zur Herstellung vermittelt,</w:t>
      </w:r>
    </w:p>
    <w:p>
      <w:r>
        <w:t xml:space="preserve">entgegen § 24 Absatz 2 Satz 3 eine Feuerbestattungsanlage ohne die erforderliche Genehmigung betreibt,</w:t>
      </w:r>
    </w:p>
    <w:p>
      <w:r>
        <w:t xml:space="preserve">entgegen § 23 Absatz 5 Satz 5 kein Einäscherungsverzeichnis führt oder es unterlässt, die vorgeschriebenen Eintragungen vorzunehmen,</w:t>
      </w:r>
    </w:p>
    <w:p>
      <w:r>
        <w:t xml:space="preserve">entgegen § 25 Absatz 2 ohne Ausnahmegenehmigung eine Bestattung außerhalb eines Friedhofes vornimmt oder Teile von Totenasche außerhalb eines Friedhofes beisetzt,</w:t>
      </w:r>
    </w:p>
    <w:p>
      <w:r>
        <w:t xml:space="preserve">entgegen § 33 Absatz 2 eine bestattete Leiche oder Urne ohne Genehmigung ausgräbt oder umbettet oder den Nebenbestimmungen, mit denen die Erlaubnis erteilt wurde, zuwiderhandelt,</w:t>
      </w:r>
    </w:p>
    <w:p>
      <w:r>
        <w:t xml:space="preserve">einer Rechtsverordnung gemäß § 17 Absatz 5 oder § 24 Absatz 4 zuwiderhandelt, sofern sie für einen bestimmten Tatbestand auf diese Bußgeldvorschrift verweist.</w:t>
      </w:r>
    </w:p>
    <w:p>
      <w:r>
        <w:t xml:space="preserve">(2) Die Ordnungswidrigkeit kann mit einer Geldbuße bis zu 10 000 Euro geahndet werden.</w:t>
      </w:r>
    </w:p>
    <w:p>
      <w:r>
        <w:t xml:space="preserve">(3) Zuständige Verwaltungsbehörde im Sinne des § 36 Absatz 1 Nummer 1 des Gesetzes über Ordnungswidrigkeiten ist</w:t>
      </w:r>
    </w:p>
    <w:p>
      <w:r>
        <w:t xml:space="preserve">in den Fällen des Absatzes 1 Nummer 2 bis 9 und eines Verstoßes gegen eine nach § 17 Absatz 5 erlassene Rechtsverordnung die jeweilig zuständige untere Gesundheitsbehörde,</w:t>
      </w:r>
    </w:p>
    <w:p>
      <w:r>
        <w:t xml:space="preserve">in den Fällen des Absatzes 1 Nummer 1, 10 bis 14, 18 und 19 die örtliche Ordnungsbehörde,</w:t>
      </w:r>
    </w:p>
    <w:p>
      <w:r>
        <w:t xml:space="preserve">im Fall des Absatzes 1 Nummer 15 die Kreisordnungsbehörde und</w:t>
      </w:r>
    </w:p>
    <w:p>
      <w:r>
        <w:t xml:space="preserve">in den Fällen des Absatzes 1 Nummer 16 und 17 sowie eines Verstoßes gegen eine nach § 24 Absatz 4 erlassene Rechtsverordnung die Landrätin, der Landrat, die Oberbürgermeisterin oder der Oberbürgermeister als allgemeine untere Landesbehörde, soweit es sich nicht um bauliche Anforderungen an Feuerbestattungsanlagen handelt.</w:t>
      </w:r>
    </w:p>
    <w:p>
      <w:r>
        <w:rPr>
          <w:color w:val="555555"/>
          <w:sz w:val="17"/>
        </w:rPr>
        <w:t xml:space="preserve">Zitiervorschlag: § 38 BbgBestG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https://recht.nulegal.eu/gesetze/BbgBestG/38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