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BbgBestG (Brandenburg) — Umwelt- und Naturschutz</w:t>
      </w:r>
    </w:p>
    <w:p>
      <w:r>
        <w:rPr>
          <w:color w:val="555555"/>
          <w:sz w:val="18"/>
        </w:rPr>
        <w:t xml:space="preserve">Brandenburgisches Bestattungsgesetz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Bei der Anlegung, Gestaltung, Nutzung und Unterhaltung des Friedhofes haben die Beteiligten den Anforderungen des Umwelt- und Naturschutzes Rechnung zu tragen.</w:t>
      </w:r>
    </w:p>
    <w:p>
      <w:r>
        <w:rPr>
          <w:color w:val="555555"/>
          <w:sz w:val="17"/>
        </w:rPr>
        <w:t xml:space="preserve">Zitiervorschlag: § 35 BbgBestG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https://recht.nulegal.eu/gesetze/BbgBestG/35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