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BbgBestG (Brandenburg) — Friedhofsordnungen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die Ordnung, Benutzung und Gestaltung der Friedhöfe sowie die Ausübung gewerblicher Tätigkeiten auf diesen durch eine Satzung (Friedhofsordnung) regeln. Die Vorschriften der Religionsgemeinschaften, die Körperschaften des öffentlichen Rechts sind, über Ordnung, Benutzung und Gestaltung der Friedhöfe sowie die Ausübung gewerblicher Tätigkeiten auf deren Friedhöfen bleiben unberührt.</w:t>
      </w:r>
    </w:p>
    <w:p>
      <w:r>
        <w:t xml:space="preserve">(2) In der Friedhofsordnung kann festgelegt werden, dass Grabsteine und Grabeinfassungen aus Naturstein nur aufgestellt werden dürfen, wenn sie nachweislich ohne schlimmste Formen von Kinderarbeit im Sinne von Artikel 3 des Übereinkommens Nr. 182 der Internationalen Arbeitsorganisation vom 17. Juni 1999 über das Verbot und unverzügliche Maßnahmen zur Beseitigung der schlimmsten Formen der Kinderarbeit ( BGBl. 2001 II S. 1290, 1291) hergestellt worden sind. Die Herstellung umfasst sämtliche Bearbeitungsschritte von der Gewinnung des Natursteins bis zum Endprodukt.</w:t>
      </w:r>
    </w:p>
    <w:p>
      <w:r>
        <w:t xml:space="preserve">(3) Der Nachweis im Sinne von Absatz 2 Satz 1 kann erbracht werden durch</w:t>
      </w:r>
    </w:p>
    <w:p>
      <w:r>
        <w:t xml:space="preserve">eine lückenlose Dokumentation, wonach die Grabsteine oder Grabeinfassungen aus Naturstein ausschließlich in Mitgliedstaaten der Europäischen Union, weiteren Vertragsstaaten des Abkommens über den Europäischen Wirtschaftsraum oder der Schweiz hergestellt worden sind, oder</w:t>
      </w:r>
    </w:p>
    <w:p>
      <w:r>
        <w:t xml:space="preserve">die schriftliche oder durch elektronischen Schriftformersatz abgegebene Erklärung einer Organisation, wonach</w:t>
      </w:r>
    </w:p>
    <w:p>
      <w:r>
        <w:t xml:space="preserve">die Herstellung ohne schlimmste Formen von Kinderarbeit erfolgt ist,</w:t>
      </w:r>
    </w:p>
    <w:p>
      <w:r>
        <w:t xml:space="preserve">dies durch sachkundige und unabhängige Kontrolleure regelmäßig und unangemeldet vor Ort überprüft wird und</w:t>
      </w:r>
    </w:p>
    <w:p>
      <w:r>
        <w:t xml:space="preserve">die ausstellende Organisation weder unmittelbar noch mittelbar an der Herstellung oder am Handel mit Naturstein beteiligt ist.</w:t>
      </w:r>
    </w:p>
    <w:p>
      <w:r>
        <w:t xml:space="preserve">Ist die Vorlage eines Nachweises nach Satz 1 unzumutbar, genügt es, dass der Letztveräußerer schriftlich oder durch elektronischen Schriftformersatz</w:t>
      </w:r>
    </w:p>
    <w:p>
      <w:r>
        <w:t xml:space="preserve">zusichert, dass ihm keine Anhaltspunkte dafür bekannt sind, dass die verwendeten Grabsteine und Grabeinfassungen aus Naturstein unter schlimmsten Formen von Kinderarbeit hergestellt worden sind, und</w:t>
      </w:r>
    </w:p>
    <w:p>
      <w:r>
        <w:t xml:space="preserve">darlegt, welche wirksamen Maßnahmen ergriffen worden sind, um die Verwendung von solchen Grabsteinen und Grabeinfassungen zu vermeiden.</w:t>
      </w:r>
    </w:p>
    <w:p>
      <w:r>
        <w:t xml:space="preserve">(4) Eines Nachweises im Sinne von Absatz 2 Satz 1 bedarf es nicht, wenn der Letztveräußerer glaubhaft macht, dass die Grabsteine oder Grabeinfassungen aus Naturstein oder deren Rohmaterial vor dem 1. September 2019 in das Bundesgebiet eingeführt wurden.</w:t>
      </w:r>
    </w:p>
    <w:p>
      <w:r>
        <w:rPr>
          <w:color w:val="555555"/>
          <w:sz w:val="17"/>
        </w:rPr>
        <w:t xml:space="preserve">Zitiervorschlag: § 34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